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center"/>
        <w:rPr>
          <w:rFonts w:ascii="Calibri" w:hAnsi="Calibri" w:eastAsia="Arial" w:cs="Times New Roman"/>
          <w:spacing w:val="20"/>
          <w:w w:val="125"/>
          <w:sz w:val="16"/>
          <w:szCs w:val="26"/>
          <w:u w:val="single"/>
        </w:rPr>
      </w:pPr>
      <w:r>
        <w:rPr>
          <w:rFonts w:ascii="Calibri" w:hAnsi="Calibri" w:eastAsia="Arial" w:cs="Times New Roman"/>
          <w:spacing w:val="20"/>
          <w:w w:val="125"/>
          <w:sz w:val="20"/>
          <w:szCs w:val="26"/>
          <w:u w:val="single"/>
        </w:rPr>
        <w:t>PREMIER EXAMEN BLANC DE CERTIFICATION DU DIPLOME D’ETAT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center"/>
        <w:rPr>
          <w:rFonts w:ascii="Calibri" w:hAnsi="Calibri" w:eastAsia="Arial" w:cs="Times New Roman"/>
          <w:b/>
          <w:sz w:val="28"/>
          <w:szCs w:val="28"/>
        </w:rPr>
      </w:pPr>
      <w:r>
        <w:rPr>
          <w:rFonts w:ascii="Calibri" w:hAnsi="Calibri" w:eastAsia="Arial" w:cs="Times New Roman"/>
          <w:b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2294890</wp:posOffset>
                </wp:positionH>
                <wp:positionV relativeFrom="paragraph">
                  <wp:posOffset>306705</wp:posOffset>
                </wp:positionV>
                <wp:extent cx="1181100" cy="314325"/>
                <wp:effectExtent l="0" t="0" r="19050" b="28575"/>
                <wp:wrapNone/>
                <wp:docPr id="1" name="Ellips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314325"/>
                        </a:xfrm>
                        <a:prstGeom prst="ellipse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t>VERSION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180.7pt;margin-top:24.15pt;height:24.75pt;width:93pt;z-index:251659264;v-text-anchor:middle;mso-width-relative:page;mso-height-relative:page;" fillcolor="#FFFFFF [3201]" filled="t" stroked="t" coordsize="21600,21600" o:gfxdata="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Hl8u6jXAAAACQEAAA8AAAAAAAAAAQAgAAAAIgAAAGRycy9kb3ducmV2LnhtbFBLAQIU&#10;ABQAAAAIAIdO4kDRaiaGZgIAAAIFAAAOAAAAAAAAAAEAIAAAACYBAABkcnMvZTJvRG9jLnhtbFBL&#10;BQYAAAAABgAGAFkBAAD+BQAAAAA=&#10;">
                <v:fill on="t" focussize="0,0"/>
                <v:stroke weight="0.25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t>VERSION 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eastAsia="Arial" w:cs="Times New Roman"/>
          <w:b/>
          <w:sz w:val="28"/>
          <w:szCs w:val="28"/>
        </w:rPr>
        <w:t xml:space="preserve">EPREUVE DE GYNECOLOGIE-OBSTETRIQUE  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center"/>
        <w:rPr>
          <w:rFonts w:ascii="Calibri" w:hAnsi="Calibri" w:eastAsia="Arial" w:cs="Times New Roman"/>
          <w:sz w:val="24"/>
          <w:szCs w:val="28"/>
        </w:rPr>
      </w:pPr>
    </w:p>
    <w:p>
      <w:pPr>
        <w:spacing w:after="0" w:line="240" w:lineRule="auto"/>
        <w:rPr>
          <w:rFonts w:ascii="Calibri" w:hAnsi="Calibri" w:cs="Times New Roman"/>
          <w:b/>
          <w:sz w:val="24"/>
          <w:szCs w:val="20"/>
        </w:rPr>
      </w:pPr>
      <w:r>
        <w:rPr>
          <w:rFonts w:ascii="Calibri" w:hAnsi="Calibri" w:eastAsia="Arial" w:cs="Times New Roman"/>
          <w:sz w:val="24"/>
          <w:szCs w:val="28"/>
        </w:rPr>
        <w:t>Licence 3 Sage-femme</w:t>
      </w:r>
      <w:r>
        <w:rPr>
          <w:rFonts w:ascii="Calibri" w:hAnsi="Calibri" w:eastAsia="Arial" w:cs="Times New Roman"/>
          <w:sz w:val="24"/>
          <w:szCs w:val="28"/>
        </w:rPr>
        <w:tab/>
      </w:r>
      <w:r>
        <w:rPr>
          <w:rFonts w:ascii="Calibri" w:hAnsi="Calibri" w:eastAsia="Arial" w:cs="Times New Roman"/>
          <w:sz w:val="24"/>
          <w:szCs w:val="28"/>
        </w:rPr>
        <w:tab/>
      </w:r>
      <w:r>
        <w:rPr>
          <w:rFonts w:ascii="Calibri" w:hAnsi="Calibri" w:eastAsia="Arial" w:cs="Times New Roman"/>
          <w:sz w:val="24"/>
          <w:szCs w:val="28"/>
        </w:rPr>
        <w:t xml:space="preserve">             </w:t>
      </w:r>
      <w:r>
        <w:rPr>
          <w:rFonts w:ascii="Calibri" w:hAnsi="Calibri" w:eastAsia="Arial" w:cs="Times New Roman"/>
          <w:sz w:val="24"/>
          <w:szCs w:val="28"/>
        </w:rPr>
        <w:tab/>
      </w:r>
      <w:r>
        <w:rPr>
          <w:rFonts w:ascii="Calibri" w:hAnsi="Calibri" w:eastAsia="Arial" w:cs="Times New Roman"/>
          <w:sz w:val="24"/>
          <w:szCs w:val="28"/>
        </w:rPr>
        <w:t xml:space="preserve">                            Durée : 01 heure 30 min</w:t>
      </w:r>
    </w:p>
    <w:p>
      <w:pPr>
        <w:pStyle w:val="6"/>
        <w:tabs>
          <w:tab w:val="left" w:pos="426"/>
        </w:tabs>
        <w:spacing w:after="0" w:line="240" w:lineRule="auto"/>
        <w:ind w:left="426"/>
        <w:rPr>
          <w:rFonts w:ascii="Calibri" w:hAnsi="Calibri" w:cs="Times New Roman"/>
          <w:b/>
          <w:sz w:val="14"/>
        </w:rPr>
      </w:pPr>
    </w:p>
    <w:p>
      <w:pPr>
        <w:pStyle w:val="6"/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426"/>
        <w:rPr>
          <w:rFonts w:ascii="Calibri" w:hAnsi="Calibri" w:cs="Times New Roman"/>
          <w:b/>
          <w:sz w:val="28"/>
        </w:rPr>
      </w:pPr>
      <w:r>
        <w:rPr>
          <w:rFonts w:ascii="Calibri" w:hAnsi="Calibri" w:cs="Times New Roman"/>
          <w:b/>
          <w:sz w:val="24"/>
          <w:szCs w:val="20"/>
        </w:rPr>
        <w:t xml:space="preserve">Question à choix double : Répondre par vrai (A) ou faux (B). </w:t>
      </w:r>
    </w:p>
    <w:p>
      <w:pPr>
        <w:spacing w:after="0" w:line="240" w:lineRule="auto"/>
        <w:rPr>
          <w:rFonts w:ascii="Calibri" w:hAnsi="Calibri" w:eastAsia="Calibri" w:cs="Times New Roman"/>
          <w:b/>
          <w:sz w:val="24"/>
          <w:szCs w:val="24"/>
          <w:u w:val="single"/>
        </w:rPr>
      </w:pPr>
      <w:r>
        <w:rPr>
          <w:rFonts w:ascii="Calibri" w:hAnsi="Calibri" w:cs="Times New Roman"/>
          <w:b/>
          <w:sz w:val="28"/>
        </w:rPr>
        <w:t xml:space="preserve">  </w:t>
      </w:r>
      <w:r>
        <w:rPr>
          <w:rFonts w:ascii="Calibri" w:hAnsi="Calibri" w:cs="Times New Roman"/>
          <w:b/>
          <w:sz w:val="28"/>
        </w:rPr>
        <w:tab/>
      </w:r>
      <w:r>
        <w:rPr>
          <w:rFonts w:ascii="Calibri" w:hAnsi="Calibri" w:cs="Times New Roman"/>
          <w:b/>
          <w:sz w:val="24"/>
          <w:szCs w:val="20"/>
        </w:rPr>
        <w:t xml:space="preserve">Un </w:t>
      </w:r>
      <w:r>
        <w:rPr>
          <w:rFonts w:ascii="Calibri" w:hAnsi="Calibri" w:eastAsia="Calibri" w:cs="Times New Roman"/>
          <w:b/>
          <w:sz w:val="24"/>
          <w:szCs w:val="24"/>
        </w:rPr>
        <w:t xml:space="preserve">point par question                 </w:t>
      </w:r>
      <w:r>
        <w:rPr>
          <w:rFonts w:ascii="Calibri" w:hAnsi="Calibri" w:eastAsia="Calibri" w:cs="Times New Roman"/>
          <w:b/>
          <w:sz w:val="24"/>
          <w:szCs w:val="24"/>
          <w:u w:val="single"/>
        </w:rPr>
        <w:t>TOTAL= 30 points</w:t>
      </w:r>
    </w:p>
    <w:p>
      <w:pPr>
        <w:spacing w:after="0" w:line="240" w:lineRule="auto"/>
        <w:rPr>
          <w:rFonts w:ascii="Calibri" w:hAnsi="Calibri" w:eastAsia="Calibri" w:cs="Times New Roman"/>
          <w:b/>
          <w:sz w:val="12"/>
          <w:szCs w:val="24"/>
        </w:rPr>
      </w:pPr>
    </w:p>
    <w:p>
      <w:pPr>
        <w:pStyle w:val="9"/>
        <w:spacing w:line="240" w:lineRule="auto"/>
        <w:rPr>
          <w:rFonts w:ascii="Calibri" w:hAnsi="Calibri" w:cs="Times New Roman"/>
          <w:color w:val="auto"/>
          <w:lang w:val="fr-FR"/>
        </w:rPr>
      </w:pPr>
    </w:p>
    <w:p>
      <w:pPr>
        <w:pStyle w:val="6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left="567" w:hanging="567"/>
        <w:rPr>
          <w:rFonts w:eastAsia="Times New Roman" w:cstheme="minorHAnsi"/>
          <w:sz w:val="26"/>
          <w:szCs w:val="26"/>
        </w:rPr>
      </w:pPr>
      <w:r>
        <w:rPr>
          <w:rFonts w:eastAsia="Times New Roman" w:cstheme="minorHAnsi"/>
          <w:sz w:val="26"/>
          <w:szCs w:val="26"/>
        </w:rPr>
        <w:t xml:space="preserve">La prophylaxie par le Cotrimoxazole doit être débutée à tout moment de la grossesse  pour la prévention des infections opportunistes (Ios) et du paludisme chez une patiente séropositive au VIH </w:t>
      </w:r>
      <w:r>
        <w:rPr>
          <w:rFonts w:hint="default" w:eastAsia="Times New Roman" w:cstheme="minorHAnsi"/>
          <w:sz w:val="26"/>
          <w:szCs w:val="26"/>
          <w:lang w:val="fr-FR"/>
        </w:rPr>
        <w:tab/>
        <w:t/>
      </w:r>
      <w:r>
        <w:rPr>
          <w:rFonts w:hint="default" w:eastAsia="Times New Roman" w:cstheme="minorHAnsi"/>
          <w:sz w:val="26"/>
          <w:szCs w:val="26"/>
          <w:lang w:val="fr-FR"/>
        </w:rPr>
        <w:tab/>
      </w:r>
      <w:r>
        <w:rPr>
          <w:rFonts w:hint="default" w:eastAsia="Times New Roman" w:cstheme="minorHAnsi"/>
          <w:b/>
          <w:bCs/>
          <w:sz w:val="26"/>
          <w:szCs w:val="26"/>
          <w:lang w:val="fr-FR"/>
        </w:rPr>
        <w:t>B</w:t>
      </w:r>
    </w:p>
    <w:p>
      <w:pPr>
        <w:pStyle w:val="6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left="567" w:hanging="567"/>
        <w:rPr>
          <w:rFonts w:eastAsia="Calibri" w:cstheme="minorHAnsi"/>
          <w:sz w:val="26"/>
          <w:szCs w:val="26"/>
        </w:rPr>
      </w:pPr>
      <w:r>
        <w:rPr>
          <w:rFonts w:eastAsia="Calibri" w:cstheme="minorHAnsi"/>
          <w:sz w:val="26"/>
          <w:szCs w:val="26"/>
        </w:rPr>
        <w:t>La césarienne programmée est retenue comme stratégie nationale de PTME en Côte d’Ivoire</w:t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</w:r>
      <w:r>
        <w:rPr>
          <w:rFonts w:hint="default" w:eastAsia="Calibri" w:cstheme="minorHAnsi"/>
          <w:b/>
          <w:bCs/>
          <w:sz w:val="26"/>
          <w:szCs w:val="26"/>
          <w:lang w:val="fr-FR"/>
        </w:rPr>
        <w:t>B</w:t>
      </w:r>
    </w:p>
    <w:p>
      <w:pPr>
        <w:pStyle w:val="6"/>
        <w:numPr>
          <w:ilvl w:val="0"/>
          <w:numId w:val="2"/>
        </w:numPr>
        <w:ind w:left="567" w:hanging="567"/>
        <w:rPr>
          <w:rFonts w:eastAsia="Calibri" w:cstheme="minorHAnsi"/>
          <w:sz w:val="26"/>
          <w:szCs w:val="26"/>
        </w:rPr>
      </w:pPr>
      <w:r>
        <w:rPr>
          <w:rFonts w:eastAsia="Calibri" w:cstheme="minorHAnsi"/>
          <w:sz w:val="26"/>
          <w:szCs w:val="26"/>
        </w:rPr>
        <w:t>Le repère de la présentation du siège est le menton</w:t>
      </w:r>
      <w:r>
        <w:rPr>
          <w:rFonts w:hint="default" w:eastAsia="Calibri" w:cstheme="minorHAnsi"/>
          <w:sz w:val="26"/>
          <w:szCs w:val="26"/>
          <w:lang w:val="fr-FR"/>
        </w:rPr>
        <w:tab/>
      </w:r>
      <w:r>
        <w:rPr>
          <w:rFonts w:hint="default" w:eastAsia="Calibri" w:cstheme="minorHAnsi"/>
          <w:b/>
          <w:bCs/>
          <w:sz w:val="26"/>
          <w:szCs w:val="26"/>
          <w:lang w:val="fr-FR"/>
        </w:rPr>
        <w:t>B</w:t>
      </w:r>
    </w:p>
    <w:p>
      <w:pPr>
        <w:pStyle w:val="6"/>
        <w:numPr>
          <w:ilvl w:val="0"/>
          <w:numId w:val="2"/>
        </w:numPr>
        <w:ind w:left="567" w:hanging="567"/>
        <w:rPr>
          <w:rFonts w:eastAsia="Calibri" w:cstheme="minorHAnsi"/>
          <w:sz w:val="26"/>
          <w:szCs w:val="26"/>
        </w:rPr>
      </w:pPr>
      <w:r>
        <w:rPr>
          <w:rFonts w:eastAsia="Calibri" w:cstheme="minorHAnsi"/>
          <w:sz w:val="26"/>
          <w:szCs w:val="26"/>
        </w:rPr>
        <w:t>test de 0’ Sullivan ou l’épreuve de 0’ Sullivan est un test de diagnostic du diabète gestationnel</w:t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</w:r>
      <w:r>
        <w:rPr>
          <w:rFonts w:hint="default" w:eastAsia="Calibri" w:cstheme="minorHAnsi"/>
          <w:b/>
          <w:bCs/>
          <w:sz w:val="26"/>
          <w:szCs w:val="26"/>
          <w:lang w:val="fr-FR"/>
        </w:rPr>
        <w:t>B</w:t>
      </w:r>
    </w:p>
    <w:p>
      <w:pPr>
        <w:pStyle w:val="6"/>
        <w:numPr>
          <w:ilvl w:val="0"/>
          <w:numId w:val="2"/>
        </w:numPr>
        <w:ind w:left="567" w:hanging="567"/>
        <w:rPr>
          <w:rFonts w:eastAsia="Calibri" w:cstheme="minorHAnsi"/>
          <w:sz w:val="26"/>
          <w:szCs w:val="26"/>
        </w:rPr>
      </w:pPr>
      <w:r>
        <w:rPr>
          <w:rFonts w:eastAsia="Calibri" w:cstheme="minorHAnsi"/>
          <w:sz w:val="26"/>
          <w:szCs w:val="26"/>
        </w:rPr>
        <w:t>La sage-femme est habilitée à suivre une gestante ayant une drépanocytose majeure</w:t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</w:r>
      <w:r>
        <w:rPr>
          <w:rFonts w:hint="default" w:eastAsia="Calibri" w:cstheme="minorHAnsi"/>
          <w:b/>
          <w:bCs/>
          <w:sz w:val="26"/>
          <w:szCs w:val="26"/>
          <w:lang w:val="fr-FR"/>
        </w:rPr>
        <w:t>B</w:t>
      </w:r>
    </w:p>
    <w:p>
      <w:pPr>
        <w:pStyle w:val="6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left="567" w:hanging="567"/>
        <w:rPr>
          <w:rFonts w:eastAsia="Calibri" w:cstheme="minorHAnsi"/>
          <w:sz w:val="26"/>
          <w:szCs w:val="26"/>
        </w:rPr>
      </w:pPr>
      <w:r>
        <w:rPr>
          <w:rFonts w:eastAsia="Calibri" w:cstheme="minorHAnsi"/>
          <w:sz w:val="26"/>
          <w:szCs w:val="26"/>
        </w:rPr>
        <w:t>L’enfant né de mère infectée par le VIH doit bénéficier de tous les vaccins du programme élargi de vaccination</w:t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</w:r>
      <w:r>
        <w:rPr>
          <w:rFonts w:hint="default" w:eastAsia="Calibri" w:cstheme="minorHAnsi"/>
          <w:b/>
          <w:bCs/>
          <w:sz w:val="26"/>
          <w:szCs w:val="26"/>
          <w:lang w:val="fr-FR"/>
        </w:rPr>
        <w:t>A</w:t>
      </w:r>
      <w:r>
        <w:rPr>
          <w:rFonts w:eastAsia="Calibri" w:cstheme="minorHAnsi"/>
          <w:b/>
          <w:bCs/>
          <w:sz w:val="26"/>
          <w:szCs w:val="26"/>
        </w:rPr>
        <w:t xml:space="preserve"> </w:t>
      </w:r>
    </w:p>
    <w:p>
      <w:pPr>
        <w:pStyle w:val="6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left="567" w:hanging="567"/>
        <w:rPr>
          <w:rFonts w:eastAsia="Calibri" w:cstheme="minorHAnsi"/>
          <w:sz w:val="26"/>
          <w:szCs w:val="26"/>
        </w:rPr>
      </w:pPr>
      <w:r>
        <w:rPr>
          <w:rFonts w:eastAsia="Calibri" w:cstheme="minorHAnsi"/>
          <w:sz w:val="26"/>
          <w:szCs w:val="26"/>
        </w:rPr>
        <w:t>La technique de la GATPA comporte deux (2) phases</w:t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</w:r>
      <w:r>
        <w:rPr>
          <w:rFonts w:hint="default" w:eastAsia="Calibri" w:cstheme="minorHAnsi"/>
          <w:b/>
          <w:bCs/>
          <w:sz w:val="26"/>
          <w:szCs w:val="26"/>
          <w:lang w:val="fr-FR"/>
        </w:rPr>
        <w:t>B</w:t>
      </w:r>
    </w:p>
    <w:p>
      <w:pPr>
        <w:pStyle w:val="6"/>
        <w:numPr>
          <w:ilvl w:val="0"/>
          <w:numId w:val="2"/>
        </w:numPr>
        <w:ind w:left="567" w:hanging="567"/>
        <w:rPr>
          <w:rFonts w:eastAsia="Calibri" w:cstheme="minorHAnsi"/>
          <w:sz w:val="26"/>
          <w:szCs w:val="26"/>
        </w:rPr>
      </w:pPr>
      <w:r>
        <w:rPr>
          <w:rFonts w:eastAsia="Calibri" w:cstheme="minorHAnsi"/>
          <w:sz w:val="26"/>
          <w:szCs w:val="26"/>
        </w:rPr>
        <w:t>La hauteur utérine normale à terme est supérieure à 34 cm.</w:t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</w:r>
      <w:r>
        <w:rPr>
          <w:rFonts w:hint="default" w:eastAsia="Calibri" w:cstheme="minorHAnsi"/>
          <w:b/>
          <w:bCs/>
          <w:sz w:val="26"/>
          <w:szCs w:val="26"/>
          <w:lang w:val="fr-FR"/>
        </w:rPr>
        <w:t>B</w:t>
      </w:r>
    </w:p>
    <w:p>
      <w:pPr>
        <w:pStyle w:val="6"/>
        <w:numPr>
          <w:ilvl w:val="0"/>
          <w:numId w:val="2"/>
        </w:numPr>
        <w:ind w:left="567" w:hanging="567"/>
        <w:rPr>
          <w:rFonts w:eastAsia="Calibri" w:cstheme="minorHAnsi"/>
          <w:sz w:val="26"/>
          <w:szCs w:val="26"/>
        </w:rPr>
      </w:pPr>
      <w:r>
        <w:rPr>
          <w:rFonts w:eastAsia="Calibri" w:cstheme="minorHAnsi"/>
          <w:sz w:val="26"/>
          <w:szCs w:val="26"/>
        </w:rPr>
        <w:t>L’anémie se définit par la baisse du taux hémoglobine inférieur à 10,5 g/dl au 2</w:t>
      </w:r>
      <w:r>
        <w:rPr>
          <w:rFonts w:eastAsia="Calibri" w:cstheme="minorHAnsi"/>
          <w:sz w:val="26"/>
          <w:szCs w:val="26"/>
          <w:vertAlign w:val="superscript"/>
        </w:rPr>
        <w:t>e</w:t>
      </w:r>
      <w:r>
        <w:rPr>
          <w:rFonts w:eastAsia="Calibri" w:cstheme="minorHAnsi"/>
          <w:sz w:val="26"/>
          <w:szCs w:val="26"/>
        </w:rPr>
        <w:t xml:space="preserve"> trimestre de la grossesse</w:t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</w:r>
      <w:r>
        <w:rPr>
          <w:rFonts w:hint="default" w:eastAsia="Calibri" w:cstheme="minorHAnsi"/>
          <w:b/>
          <w:bCs/>
          <w:sz w:val="26"/>
          <w:szCs w:val="26"/>
          <w:lang w:val="fr-FR"/>
        </w:rPr>
        <w:t>A</w:t>
      </w:r>
    </w:p>
    <w:p>
      <w:pPr>
        <w:pStyle w:val="6"/>
        <w:numPr>
          <w:ilvl w:val="0"/>
          <w:numId w:val="2"/>
        </w:numPr>
        <w:ind w:left="567" w:hanging="567"/>
        <w:rPr>
          <w:rFonts w:eastAsia="Calibri" w:cstheme="minorHAnsi"/>
          <w:b/>
          <w:bCs/>
          <w:sz w:val="26"/>
          <w:szCs w:val="26"/>
        </w:rPr>
      </w:pPr>
      <w:r>
        <w:rPr>
          <w:rFonts w:eastAsia="Calibri" w:cstheme="minorHAnsi"/>
          <w:sz w:val="26"/>
          <w:szCs w:val="26"/>
        </w:rPr>
        <w:t>Dans l’accouchement du siège la manœuvre de BRACHT est réalisée en cas de rétention de la tête fœtale dans l’excavation</w:t>
      </w:r>
      <w:r>
        <w:rPr>
          <w:rFonts w:hint="default" w:eastAsia="Calibri" w:cstheme="minorHAnsi"/>
          <w:sz w:val="26"/>
          <w:szCs w:val="26"/>
          <w:lang w:val="fr-FR"/>
        </w:rPr>
        <w:tab/>
      </w:r>
      <w:r>
        <w:rPr>
          <w:rFonts w:hint="default" w:eastAsia="Calibri" w:cstheme="minorHAnsi"/>
          <w:b/>
          <w:bCs/>
          <w:sz w:val="26"/>
          <w:szCs w:val="26"/>
          <w:lang w:val="fr-FR"/>
        </w:rPr>
        <w:t>B</w:t>
      </w:r>
    </w:p>
    <w:p>
      <w:pPr>
        <w:pStyle w:val="6"/>
        <w:numPr>
          <w:ilvl w:val="0"/>
          <w:numId w:val="2"/>
        </w:numPr>
        <w:ind w:left="567" w:hanging="567"/>
        <w:rPr>
          <w:rFonts w:eastAsia="Calibri" w:cstheme="minorHAnsi"/>
          <w:sz w:val="26"/>
          <w:szCs w:val="26"/>
        </w:rPr>
      </w:pPr>
      <w:r>
        <w:rPr>
          <w:rFonts w:eastAsia="Calibri" w:cstheme="minorHAnsi"/>
          <w:sz w:val="26"/>
          <w:szCs w:val="26"/>
        </w:rPr>
        <w:t>La lymphangite est une complication de la galactophorite</w:t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</w:r>
      <w:r>
        <w:rPr>
          <w:rFonts w:hint="default" w:eastAsia="Calibri" w:cstheme="minorHAnsi"/>
          <w:b/>
          <w:bCs/>
          <w:sz w:val="26"/>
          <w:szCs w:val="26"/>
          <w:lang w:val="fr-FR"/>
        </w:rPr>
        <w:t>B</w:t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</w:r>
    </w:p>
    <w:p>
      <w:pPr>
        <w:pStyle w:val="6"/>
        <w:numPr>
          <w:ilvl w:val="0"/>
          <w:numId w:val="2"/>
        </w:numPr>
        <w:ind w:left="567" w:hanging="567"/>
        <w:rPr>
          <w:rFonts w:eastAsia="Calibri" w:cstheme="minorHAnsi"/>
          <w:sz w:val="26"/>
          <w:szCs w:val="26"/>
        </w:rPr>
      </w:pPr>
      <w:r>
        <w:rPr>
          <w:rFonts w:eastAsia="Calibri" w:cstheme="minorHAnsi"/>
          <w:sz w:val="26"/>
          <w:szCs w:val="26"/>
        </w:rPr>
        <w:t>L’hémorragie du post partum immédiat, est une hémorragie qui survient au-delà de 24 heures ou réapparaissant dans les 45 jours après l’accouchement</w:t>
      </w:r>
      <w:r>
        <w:rPr>
          <w:rFonts w:hint="default" w:eastAsia="Calibri" w:cstheme="minorHAnsi"/>
          <w:sz w:val="26"/>
          <w:szCs w:val="26"/>
          <w:lang w:val="fr-FR"/>
        </w:rPr>
        <w:tab/>
      </w:r>
      <w:r>
        <w:rPr>
          <w:rFonts w:hint="default" w:eastAsia="Calibri" w:cstheme="minorHAnsi"/>
          <w:b/>
          <w:bCs/>
          <w:sz w:val="26"/>
          <w:szCs w:val="26"/>
          <w:lang w:val="fr-FR"/>
        </w:rPr>
        <w:t>B</w:t>
      </w:r>
    </w:p>
    <w:p>
      <w:pPr>
        <w:pStyle w:val="6"/>
        <w:numPr>
          <w:ilvl w:val="0"/>
          <w:numId w:val="2"/>
        </w:numPr>
        <w:ind w:left="567" w:hanging="567"/>
        <w:rPr>
          <w:rFonts w:eastAsia="Calibri" w:cstheme="minorHAnsi"/>
          <w:sz w:val="26"/>
          <w:szCs w:val="26"/>
        </w:rPr>
      </w:pPr>
      <w:r>
        <w:rPr>
          <w:rFonts w:eastAsia="Calibri" w:cstheme="minorHAnsi"/>
          <w:sz w:val="26"/>
          <w:szCs w:val="26"/>
        </w:rPr>
        <w:t>La délivrance artificielle est l’extraction du placenta et des membranes hors des voies génitales après injection d’utérotonique</w:t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</w:r>
      <w:r>
        <w:rPr>
          <w:rFonts w:hint="default" w:eastAsia="Calibri" w:cstheme="minorHAnsi"/>
          <w:b/>
          <w:bCs/>
          <w:sz w:val="26"/>
          <w:szCs w:val="26"/>
          <w:lang w:val="fr-FR"/>
        </w:rPr>
        <w:t>B</w:t>
      </w:r>
    </w:p>
    <w:p>
      <w:pPr>
        <w:pStyle w:val="6"/>
        <w:numPr>
          <w:ilvl w:val="0"/>
          <w:numId w:val="2"/>
        </w:numPr>
        <w:ind w:left="567" w:hanging="567"/>
        <w:rPr>
          <w:rFonts w:eastAsia="Calibri" w:cstheme="minorHAnsi"/>
          <w:sz w:val="26"/>
          <w:szCs w:val="26"/>
        </w:rPr>
      </w:pPr>
      <w:r>
        <w:rPr>
          <w:rFonts w:eastAsia="Calibri" w:cstheme="minorHAnsi"/>
          <w:sz w:val="26"/>
          <w:szCs w:val="26"/>
        </w:rPr>
        <w:t>L’épisiotomie permet d’éviter toujours les déchirures du périnée</w:t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</w:r>
      <w:r>
        <w:rPr>
          <w:rFonts w:hint="default" w:eastAsia="Calibri" w:cstheme="minorHAnsi"/>
          <w:b/>
          <w:bCs/>
          <w:sz w:val="26"/>
          <w:szCs w:val="26"/>
          <w:lang w:val="fr-FR"/>
        </w:rPr>
        <w:t>B</w:t>
      </w:r>
    </w:p>
    <w:p>
      <w:pPr>
        <w:pStyle w:val="6"/>
        <w:numPr>
          <w:ilvl w:val="0"/>
          <w:numId w:val="2"/>
        </w:numPr>
        <w:ind w:left="567" w:hanging="567"/>
        <w:rPr>
          <w:rFonts w:eastAsia="Calibri" w:cstheme="minorHAnsi"/>
          <w:sz w:val="26"/>
          <w:szCs w:val="26"/>
        </w:rPr>
      </w:pPr>
      <w:r>
        <w:rPr>
          <w:rFonts w:eastAsia="Calibri" w:cstheme="minorHAnsi"/>
          <w:sz w:val="26"/>
          <w:szCs w:val="26"/>
        </w:rPr>
        <w:t>La réparation de l’épisiotomie selon la technique un fil-un nœud se fait en 3 plans</w:t>
      </w:r>
      <w:r>
        <w:rPr>
          <w:rFonts w:hint="default" w:eastAsia="Calibri" w:cstheme="minorHAnsi"/>
          <w:sz w:val="26"/>
          <w:szCs w:val="26"/>
          <w:lang w:val="fr-FR"/>
        </w:rPr>
        <w:t xml:space="preserve"> </w:t>
      </w:r>
      <w:r>
        <w:rPr>
          <w:rFonts w:hint="default" w:eastAsia="Calibri" w:cstheme="minorHAnsi"/>
          <w:b/>
          <w:bCs/>
          <w:sz w:val="26"/>
          <w:szCs w:val="26"/>
          <w:lang w:val="fr-FR"/>
        </w:rPr>
        <w:t>B</w:t>
      </w:r>
    </w:p>
    <w:p>
      <w:pPr>
        <w:pStyle w:val="6"/>
        <w:numPr>
          <w:ilvl w:val="0"/>
          <w:numId w:val="2"/>
        </w:numPr>
        <w:ind w:left="567" w:hanging="567"/>
        <w:rPr>
          <w:rFonts w:eastAsia="Calibri" w:cstheme="minorHAnsi"/>
          <w:sz w:val="26"/>
          <w:szCs w:val="26"/>
        </w:rPr>
      </w:pPr>
      <w:r>
        <w:rPr>
          <w:rFonts w:eastAsia="Calibri" w:cstheme="minorHAnsi"/>
          <w:sz w:val="26"/>
          <w:szCs w:val="26"/>
        </w:rPr>
        <w:t>Le staphylocoque est le premier germe en cause en cas d’endométrite</w:t>
      </w:r>
      <w:r>
        <w:rPr>
          <w:rFonts w:hint="default" w:eastAsia="Calibri" w:cstheme="minorHAnsi"/>
          <w:sz w:val="26"/>
          <w:szCs w:val="26"/>
          <w:lang w:val="fr-FR"/>
        </w:rPr>
        <w:tab/>
      </w:r>
      <w:r>
        <w:rPr>
          <w:rFonts w:hint="default" w:eastAsia="Calibri" w:cstheme="minorHAnsi"/>
          <w:b/>
          <w:bCs/>
          <w:sz w:val="26"/>
          <w:szCs w:val="26"/>
          <w:lang w:val="fr-FR"/>
        </w:rPr>
        <w:t>B</w:t>
      </w:r>
    </w:p>
    <w:p>
      <w:pPr>
        <w:pStyle w:val="6"/>
        <w:numPr>
          <w:ilvl w:val="0"/>
          <w:numId w:val="2"/>
        </w:numPr>
        <w:ind w:left="567" w:hanging="567"/>
        <w:rPr>
          <w:rFonts w:eastAsia="Calibri" w:cstheme="minorHAnsi"/>
          <w:sz w:val="26"/>
          <w:szCs w:val="26"/>
        </w:rPr>
      </w:pPr>
      <w:r>
        <w:rPr>
          <w:rFonts w:eastAsia="Calibri" w:cstheme="minorHAnsi"/>
          <w:sz w:val="26"/>
          <w:szCs w:val="26"/>
        </w:rPr>
        <w:t>La prévention antianémique est systématique chez la gestante dans les pays en développement</w:t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  <w:t/>
      </w:r>
      <w:r>
        <w:rPr>
          <w:rFonts w:hint="default" w:eastAsia="Calibri" w:cstheme="minorHAnsi"/>
          <w:sz w:val="26"/>
          <w:szCs w:val="26"/>
          <w:lang w:val="fr-FR"/>
        </w:rPr>
        <w:tab/>
      </w:r>
      <w:r>
        <w:rPr>
          <w:rFonts w:hint="default" w:eastAsia="Calibri" w:cstheme="minorHAnsi"/>
          <w:b/>
          <w:bCs/>
          <w:sz w:val="26"/>
          <w:szCs w:val="26"/>
          <w:lang w:val="fr-FR"/>
        </w:rPr>
        <w:t>A</w:t>
      </w:r>
      <w:r>
        <w:rPr>
          <w:rFonts w:eastAsia="Calibri" w:cstheme="minorHAnsi"/>
          <w:b/>
          <w:bCs/>
          <w:sz w:val="26"/>
          <w:szCs w:val="26"/>
        </w:rPr>
        <w:t xml:space="preserve"> </w:t>
      </w:r>
    </w:p>
    <w:p>
      <w:pPr>
        <w:pStyle w:val="6"/>
        <w:numPr>
          <w:ilvl w:val="0"/>
          <w:numId w:val="2"/>
        </w:numPr>
        <w:ind w:left="567" w:hanging="567"/>
        <w:rPr>
          <w:rFonts w:eastAsia="Calibri" w:cstheme="minorHAnsi"/>
          <w:sz w:val="26"/>
          <w:szCs w:val="26"/>
        </w:rPr>
      </w:pPr>
      <w:r>
        <w:rPr>
          <w:rFonts w:eastAsia="Calibri" w:cstheme="minorHAnsi"/>
          <w:sz w:val="26"/>
          <w:szCs w:val="26"/>
        </w:rPr>
        <w:t>Un score de Bishop supérieur ou égal à 7 est dit favorable</w:t>
      </w:r>
      <w:r>
        <w:rPr>
          <w:rFonts w:hint="default" w:eastAsia="Calibri" w:cstheme="minorHAnsi"/>
          <w:sz w:val="26"/>
          <w:szCs w:val="26"/>
          <w:lang w:val="fr-FR"/>
        </w:rPr>
        <w:tab/>
      </w:r>
      <w:r>
        <w:rPr>
          <w:rFonts w:hint="default" w:eastAsia="Calibri" w:cstheme="minorHAnsi"/>
          <w:b/>
          <w:bCs/>
          <w:sz w:val="26"/>
          <w:szCs w:val="26"/>
          <w:lang w:val="fr-FR"/>
        </w:rPr>
        <w:t>A</w:t>
      </w:r>
    </w:p>
    <w:p>
      <w:pPr>
        <w:pStyle w:val="6"/>
        <w:numPr>
          <w:ilvl w:val="0"/>
          <w:numId w:val="2"/>
        </w:numPr>
        <w:ind w:left="567" w:hanging="567"/>
        <w:rPr>
          <w:rFonts w:eastAsia="Calibri" w:cstheme="minorHAnsi"/>
          <w:sz w:val="26"/>
          <w:szCs w:val="26"/>
        </w:rPr>
      </w:pPr>
      <w:r>
        <w:rPr>
          <w:rFonts w:eastAsia="Calibri" w:cstheme="minorHAnsi"/>
          <w:sz w:val="26"/>
          <w:szCs w:val="26"/>
        </w:rPr>
        <w:t>La quinine est le médicament de référence  contre le  paludisme quel que soit l’âge de la grossesse</w:t>
      </w:r>
      <w:r>
        <w:rPr>
          <w:rFonts w:hint="default" w:eastAsia="Calibri" w:cstheme="minorHAnsi"/>
          <w:sz w:val="26"/>
          <w:szCs w:val="26"/>
          <w:lang w:val="fr-FR"/>
        </w:rPr>
        <w:tab/>
      </w:r>
      <w:r>
        <w:rPr>
          <w:rFonts w:hint="default" w:eastAsia="Calibri" w:cstheme="minorHAnsi"/>
          <w:b/>
          <w:bCs/>
          <w:sz w:val="26"/>
          <w:szCs w:val="26"/>
          <w:lang w:val="fr-FR"/>
        </w:rPr>
        <w:t>A</w:t>
      </w:r>
    </w:p>
    <w:p>
      <w:pPr>
        <w:pStyle w:val="6"/>
        <w:numPr>
          <w:ilvl w:val="0"/>
          <w:numId w:val="2"/>
        </w:numPr>
        <w:spacing w:line="360" w:lineRule="auto"/>
        <w:ind w:left="567" w:hanging="567"/>
        <w:jc w:val="both"/>
        <w:rPr>
          <w:rFonts w:eastAsia="Times New Roman" w:cstheme="minorHAnsi"/>
          <w:sz w:val="26"/>
          <w:szCs w:val="26"/>
          <w:lang w:eastAsia="fr-FR"/>
        </w:rPr>
      </w:pPr>
      <w:r>
        <w:rPr>
          <w:rFonts w:eastAsia="Times New Roman" w:cstheme="minorHAnsi"/>
          <w:b/>
          <w:sz w:val="26"/>
          <w:szCs w:val="26"/>
          <w:lang w:eastAsia="fr-FR"/>
        </w:rPr>
        <w:t>L’hémorragie du post-partum (HPP)</w:t>
      </w:r>
      <w:r>
        <w:rPr>
          <w:rFonts w:eastAsia="Times New Roman" w:cstheme="minorHAnsi"/>
          <w:sz w:val="26"/>
          <w:szCs w:val="26"/>
          <w:lang w:eastAsia="fr-FR"/>
        </w:rPr>
        <w:t xml:space="preserve"> se définit comme une perte sanguine provenant des voies génitales dont la quantité est supérieure à 500ml quel que soit la voie d’accouchement.</w:t>
      </w:r>
      <w:r>
        <w:rPr>
          <w:rFonts w:hint="default" w:eastAsia="Times New Roman" w:cstheme="minorHAnsi"/>
          <w:sz w:val="26"/>
          <w:szCs w:val="26"/>
          <w:lang w:val="en-US" w:eastAsia="fr-FR"/>
        </w:rPr>
        <w:tab/>
        <w:t/>
      </w:r>
      <w:r>
        <w:rPr>
          <w:rFonts w:hint="default" w:eastAsia="Times New Roman" w:cstheme="minorHAnsi"/>
          <w:sz w:val="26"/>
          <w:szCs w:val="26"/>
          <w:lang w:val="en-US" w:eastAsia="fr-FR"/>
        </w:rPr>
        <w:tab/>
      </w:r>
      <w:r>
        <w:rPr>
          <w:rFonts w:hint="default" w:eastAsia="Times New Roman" w:cstheme="minorHAnsi"/>
          <w:b/>
          <w:bCs/>
          <w:sz w:val="26"/>
          <w:szCs w:val="26"/>
          <w:lang w:val="en-US" w:eastAsia="fr-FR"/>
        </w:rPr>
        <w:t>B</w:t>
      </w:r>
    </w:p>
    <w:p>
      <w:pPr>
        <w:pStyle w:val="6"/>
        <w:numPr>
          <w:ilvl w:val="0"/>
          <w:numId w:val="2"/>
        </w:numPr>
        <w:spacing w:line="360" w:lineRule="auto"/>
        <w:ind w:left="567" w:hanging="567"/>
        <w:jc w:val="both"/>
        <w:rPr>
          <w:rFonts w:eastAsia="Times New Roman" w:cstheme="minorHAnsi"/>
          <w:sz w:val="26"/>
          <w:szCs w:val="26"/>
          <w:lang w:eastAsia="fr-FR"/>
        </w:rPr>
      </w:pPr>
      <w:r>
        <w:rPr>
          <w:rFonts w:eastAsia="Times New Roman" w:cstheme="minorHAnsi"/>
          <w:b/>
          <w:sz w:val="26"/>
          <w:szCs w:val="26"/>
          <w:lang w:eastAsia="fr-FR"/>
        </w:rPr>
        <w:t>L’Endométrite</w:t>
      </w:r>
      <w:r>
        <w:rPr>
          <w:rFonts w:eastAsia="Times New Roman" w:cstheme="minorHAnsi"/>
          <w:sz w:val="26"/>
          <w:szCs w:val="26"/>
          <w:lang w:eastAsia="fr-FR"/>
        </w:rPr>
        <w:t xml:space="preserve"> est une des étiologies de l’hémorragie du postpartum tardif.</w:t>
      </w:r>
      <w:r>
        <w:rPr>
          <w:rFonts w:hint="default" w:eastAsia="Times New Roman" w:cstheme="minorHAnsi"/>
          <w:sz w:val="26"/>
          <w:szCs w:val="26"/>
          <w:lang w:val="en-US" w:eastAsia="fr-FR"/>
        </w:rPr>
        <w:t xml:space="preserve"> </w:t>
      </w:r>
      <w:r>
        <w:rPr>
          <w:rFonts w:hint="default" w:eastAsia="Times New Roman" w:cstheme="minorHAnsi"/>
          <w:b/>
          <w:bCs/>
          <w:sz w:val="26"/>
          <w:szCs w:val="26"/>
          <w:lang w:val="en-US" w:eastAsia="fr-FR"/>
        </w:rPr>
        <w:t>A</w:t>
      </w:r>
    </w:p>
    <w:p>
      <w:pPr>
        <w:pStyle w:val="6"/>
        <w:numPr>
          <w:ilvl w:val="0"/>
          <w:numId w:val="2"/>
        </w:numPr>
        <w:spacing w:line="360" w:lineRule="auto"/>
        <w:ind w:left="567" w:hanging="567"/>
        <w:jc w:val="both"/>
        <w:rPr>
          <w:rFonts w:eastAsia="Times New Roman" w:cstheme="minorHAnsi"/>
          <w:sz w:val="26"/>
          <w:szCs w:val="26"/>
          <w:lang w:eastAsia="fr-FR"/>
        </w:rPr>
      </w:pPr>
      <w:r>
        <w:rPr>
          <w:rFonts w:eastAsia="Times New Roman" w:cstheme="minorHAnsi"/>
          <w:sz w:val="26"/>
          <w:szCs w:val="26"/>
          <w:lang w:eastAsia="fr-FR"/>
        </w:rPr>
        <w:t xml:space="preserve">La </w:t>
      </w:r>
      <w:r>
        <w:rPr>
          <w:rFonts w:eastAsia="Times New Roman" w:cstheme="minorHAnsi"/>
          <w:b/>
          <w:sz w:val="26"/>
          <w:szCs w:val="26"/>
          <w:lang w:eastAsia="fr-FR"/>
        </w:rPr>
        <w:t>prophylaxie antirétrovirale de l’enfant né de mère VIH 2</w:t>
      </w:r>
      <w:r>
        <w:rPr>
          <w:rFonts w:eastAsia="Times New Roman" w:cstheme="minorHAnsi"/>
          <w:sz w:val="26"/>
          <w:szCs w:val="26"/>
          <w:lang w:eastAsia="fr-FR"/>
        </w:rPr>
        <w:t xml:space="preserve"> se fait avec la Névirapine.</w:t>
      </w:r>
      <w:r>
        <w:rPr>
          <w:rFonts w:hint="default" w:eastAsia="Times New Roman" w:cstheme="minorHAnsi"/>
          <w:sz w:val="26"/>
          <w:szCs w:val="26"/>
          <w:lang w:val="en-US" w:eastAsia="fr-FR"/>
        </w:rPr>
        <w:tab/>
        <w:t/>
      </w:r>
      <w:r>
        <w:rPr>
          <w:rFonts w:hint="default" w:eastAsia="Times New Roman" w:cstheme="minorHAnsi"/>
          <w:sz w:val="26"/>
          <w:szCs w:val="26"/>
          <w:lang w:val="en-US" w:eastAsia="fr-FR"/>
        </w:rPr>
        <w:tab/>
      </w:r>
      <w:r>
        <w:rPr>
          <w:rFonts w:hint="default" w:eastAsia="Times New Roman" w:cstheme="minorHAnsi"/>
          <w:b/>
          <w:bCs/>
          <w:sz w:val="26"/>
          <w:szCs w:val="26"/>
          <w:lang w:val="en-US" w:eastAsia="fr-FR"/>
        </w:rPr>
        <w:t>B</w:t>
      </w:r>
    </w:p>
    <w:p>
      <w:pPr>
        <w:pStyle w:val="6"/>
        <w:numPr>
          <w:ilvl w:val="0"/>
          <w:numId w:val="2"/>
        </w:numPr>
        <w:spacing w:line="360" w:lineRule="auto"/>
        <w:ind w:left="567" w:hanging="567"/>
        <w:jc w:val="both"/>
        <w:rPr>
          <w:rFonts w:eastAsia="Times New Roman" w:cstheme="minorHAnsi"/>
          <w:sz w:val="26"/>
          <w:szCs w:val="26"/>
          <w:lang w:eastAsia="fr-FR"/>
        </w:rPr>
      </w:pPr>
      <w:r>
        <w:rPr>
          <w:rFonts w:eastAsia="Times New Roman" w:cstheme="minorHAnsi"/>
          <w:b/>
          <w:sz w:val="26"/>
          <w:szCs w:val="26"/>
          <w:lang w:eastAsia="fr-FR"/>
        </w:rPr>
        <w:t>La délivrance artificielle</w:t>
      </w:r>
      <w:r>
        <w:rPr>
          <w:rFonts w:eastAsia="Times New Roman" w:cstheme="minorHAnsi"/>
          <w:sz w:val="26"/>
          <w:szCs w:val="26"/>
          <w:lang w:eastAsia="fr-FR"/>
        </w:rPr>
        <w:t xml:space="preserve"> est systématique lors de la rétention des membranes.</w:t>
      </w:r>
      <w:r>
        <w:rPr>
          <w:rFonts w:hint="default" w:eastAsia="Times New Roman" w:cstheme="minorHAnsi"/>
          <w:sz w:val="26"/>
          <w:szCs w:val="26"/>
          <w:lang w:val="en-US" w:eastAsia="fr-FR"/>
        </w:rPr>
        <w:t xml:space="preserve"> </w:t>
      </w:r>
      <w:r>
        <w:rPr>
          <w:rFonts w:hint="default" w:eastAsia="Times New Roman" w:cstheme="minorHAnsi"/>
          <w:b/>
          <w:bCs/>
          <w:sz w:val="26"/>
          <w:szCs w:val="26"/>
          <w:lang w:val="en-US" w:eastAsia="fr-FR"/>
        </w:rPr>
        <w:t>B</w:t>
      </w:r>
    </w:p>
    <w:p>
      <w:pPr>
        <w:pStyle w:val="6"/>
        <w:numPr>
          <w:ilvl w:val="0"/>
          <w:numId w:val="2"/>
        </w:numPr>
        <w:spacing w:line="360" w:lineRule="auto"/>
        <w:ind w:left="567" w:hanging="567"/>
        <w:jc w:val="both"/>
        <w:rPr>
          <w:rFonts w:cstheme="minorHAnsi"/>
          <w:sz w:val="26"/>
          <w:szCs w:val="26"/>
        </w:rPr>
      </w:pPr>
      <w:r>
        <w:rPr>
          <w:rFonts w:eastAsia="Times New Roman" w:cstheme="minorHAnsi"/>
          <w:sz w:val="26"/>
          <w:szCs w:val="26"/>
          <w:lang w:eastAsia="fr-FR"/>
        </w:rPr>
        <w:t xml:space="preserve">Dans le </w:t>
      </w:r>
      <w:r>
        <w:rPr>
          <w:rFonts w:eastAsia="Times New Roman" w:cstheme="minorHAnsi"/>
          <w:b/>
          <w:sz w:val="26"/>
          <w:szCs w:val="26"/>
          <w:lang w:eastAsia="fr-FR"/>
        </w:rPr>
        <w:t>siège décomplété</w:t>
      </w:r>
      <w:r>
        <w:rPr>
          <w:rFonts w:eastAsia="Times New Roman" w:cstheme="minorHAnsi"/>
          <w:sz w:val="26"/>
          <w:szCs w:val="26"/>
          <w:lang w:eastAsia="fr-FR"/>
        </w:rPr>
        <w:t> </w:t>
      </w:r>
      <w:r>
        <w:rPr>
          <w:rFonts w:cstheme="minorHAnsi"/>
          <w:sz w:val="26"/>
          <w:szCs w:val="26"/>
        </w:rPr>
        <w:t>on perçoit les fesses et souvent les pieds.</w:t>
      </w:r>
      <w:r>
        <w:rPr>
          <w:rFonts w:hint="default" w:cstheme="minorHAnsi"/>
          <w:sz w:val="26"/>
          <w:szCs w:val="26"/>
          <w:lang w:val="fr-FR"/>
        </w:rPr>
        <w:tab/>
        <w:t/>
      </w:r>
      <w:r>
        <w:rPr>
          <w:rFonts w:hint="default" w:cstheme="minorHAnsi"/>
          <w:sz w:val="26"/>
          <w:szCs w:val="26"/>
          <w:lang w:val="fr-FR"/>
        </w:rPr>
        <w:tab/>
        <w:t/>
      </w:r>
      <w:r>
        <w:rPr>
          <w:rFonts w:hint="default" w:cstheme="minorHAnsi"/>
          <w:sz w:val="26"/>
          <w:szCs w:val="26"/>
          <w:lang w:val="fr-FR"/>
        </w:rPr>
        <w:tab/>
      </w:r>
      <w:r>
        <w:rPr>
          <w:rFonts w:hint="default" w:cstheme="minorHAnsi"/>
          <w:b/>
          <w:bCs/>
          <w:sz w:val="26"/>
          <w:szCs w:val="26"/>
          <w:lang w:val="fr-FR"/>
        </w:rPr>
        <w:t>B</w:t>
      </w:r>
    </w:p>
    <w:p>
      <w:pPr>
        <w:pStyle w:val="6"/>
        <w:numPr>
          <w:ilvl w:val="0"/>
          <w:numId w:val="2"/>
        </w:numPr>
        <w:spacing w:line="360" w:lineRule="auto"/>
        <w:ind w:left="567" w:hanging="567"/>
        <w:rPr>
          <w:rFonts w:cstheme="minorHAnsi"/>
          <w:b/>
          <w:bCs/>
          <w:sz w:val="26"/>
          <w:szCs w:val="26"/>
        </w:rPr>
      </w:pPr>
      <w:r>
        <w:rPr>
          <w:rFonts w:cstheme="minorHAnsi"/>
          <w:b/>
          <w:sz w:val="26"/>
          <w:szCs w:val="26"/>
        </w:rPr>
        <w:t>Le déclenchement artificiel du travail</w:t>
      </w:r>
      <w:r>
        <w:rPr>
          <w:rFonts w:cstheme="minorHAnsi"/>
          <w:sz w:val="26"/>
          <w:szCs w:val="26"/>
        </w:rPr>
        <w:t xml:space="preserve"> est l’induction spontanée des contractions utérines dans le but d’obtenir un accouchement par les voies naturelles chez une femme qui n’est pas jusque-là en travail.</w:t>
      </w:r>
      <w:r>
        <w:rPr>
          <w:rFonts w:hint="default" w:cstheme="minorHAnsi"/>
          <w:sz w:val="26"/>
          <w:szCs w:val="26"/>
          <w:lang w:val="fr-FR"/>
        </w:rPr>
        <w:tab/>
        <w:t/>
      </w:r>
      <w:r>
        <w:rPr>
          <w:rFonts w:hint="default" w:cstheme="minorHAnsi"/>
          <w:sz w:val="26"/>
          <w:szCs w:val="26"/>
          <w:lang w:val="fr-FR"/>
        </w:rPr>
        <w:tab/>
        <w:t/>
      </w:r>
      <w:r>
        <w:rPr>
          <w:rFonts w:hint="default" w:cstheme="minorHAnsi"/>
          <w:sz w:val="26"/>
          <w:szCs w:val="26"/>
          <w:lang w:val="fr-FR"/>
        </w:rPr>
        <w:tab/>
        <w:t/>
      </w:r>
      <w:r>
        <w:rPr>
          <w:rFonts w:hint="default" w:cstheme="minorHAnsi"/>
          <w:sz w:val="26"/>
          <w:szCs w:val="26"/>
          <w:lang w:val="fr-FR"/>
        </w:rPr>
        <w:tab/>
      </w:r>
      <w:r>
        <w:rPr>
          <w:rFonts w:hint="default" w:cstheme="minorHAnsi"/>
          <w:b/>
          <w:bCs/>
          <w:sz w:val="26"/>
          <w:szCs w:val="26"/>
          <w:lang w:val="fr-FR"/>
        </w:rPr>
        <w:t>B</w:t>
      </w:r>
    </w:p>
    <w:p>
      <w:pPr>
        <w:pStyle w:val="6"/>
        <w:numPr>
          <w:ilvl w:val="0"/>
          <w:numId w:val="2"/>
        </w:numPr>
        <w:spacing w:line="360" w:lineRule="auto"/>
        <w:ind w:left="567" w:hanging="567"/>
        <w:rPr>
          <w:rFonts w:cstheme="minorHAnsi"/>
          <w:sz w:val="26"/>
          <w:szCs w:val="26"/>
        </w:rPr>
      </w:pPr>
      <w:r>
        <w:rPr>
          <w:rFonts w:cstheme="minorHAnsi"/>
          <w:b/>
          <w:sz w:val="26"/>
          <w:szCs w:val="26"/>
        </w:rPr>
        <w:t>La drépanocytose</w:t>
      </w:r>
      <w:r>
        <w:rPr>
          <w:rFonts w:cstheme="minorHAnsi"/>
          <w:sz w:val="26"/>
          <w:szCs w:val="26"/>
        </w:rPr>
        <w:t xml:space="preserve"> est une hémoglobinopathie quantitative</w:t>
      </w:r>
      <w:r>
        <w:rPr>
          <w:rFonts w:hint="default" w:cstheme="minorHAnsi"/>
          <w:sz w:val="26"/>
          <w:szCs w:val="26"/>
          <w:lang w:val="fr-FR"/>
        </w:rPr>
        <w:tab/>
      </w:r>
      <w:r>
        <w:rPr>
          <w:rFonts w:hint="default" w:cstheme="minorHAnsi"/>
          <w:b/>
          <w:bCs/>
          <w:sz w:val="26"/>
          <w:szCs w:val="26"/>
          <w:lang w:val="fr-FR"/>
        </w:rPr>
        <w:t>B</w:t>
      </w:r>
    </w:p>
    <w:p>
      <w:pPr>
        <w:pStyle w:val="6"/>
        <w:numPr>
          <w:ilvl w:val="0"/>
          <w:numId w:val="2"/>
        </w:numPr>
        <w:spacing w:line="360" w:lineRule="auto"/>
        <w:ind w:left="567" w:hanging="567"/>
        <w:rPr>
          <w:rFonts w:cstheme="minorHAnsi"/>
          <w:sz w:val="26"/>
          <w:szCs w:val="26"/>
        </w:rPr>
      </w:pPr>
      <w:r>
        <w:rPr>
          <w:rFonts w:cstheme="minorHAnsi"/>
          <w:b/>
          <w:sz w:val="26"/>
          <w:szCs w:val="26"/>
        </w:rPr>
        <w:t>Hémoglobinopathie SC</w:t>
      </w:r>
      <w:r>
        <w:rPr>
          <w:rFonts w:cstheme="minorHAnsi"/>
          <w:sz w:val="26"/>
          <w:szCs w:val="26"/>
        </w:rPr>
        <w:t xml:space="preserve"> est une forme majeure de la drépanocytose</w:t>
      </w:r>
      <w:r>
        <w:rPr>
          <w:rFonts w:hint="default" w:cstheme="minorHAnsi"/>
          <w:sz w:val="26"/>
          <w:szCs w:val="26"/>
          <w:lang w:val="fr-FR"/>
        </w:rPr>
        <w:tab/>
        <w:t/>
      </w:r>
      <w:r>
        <w:rPr>
          <w:rFonts w:hint="default" w:cstheme="minorHAnsi"/>
          <w:sz w:val="26"/>
          <w:szCs w:val="26"/>
          <w:lang w:val="fr-FR"/>
        </w:rPr>
        <w:tab/>
      </w:r>
      <w:r>
        <w:rPr>
          <w:rFonts w:hint="default" w:cstheme="minorHAnsi"/>
          <w:b/>
          <w:bCs/>
          <w:sz w:val="26"/>
          <w:szCs w:val="26"/>
          <w:lang w:val="fr-FR"/>
        </w:rPr>
        <w:t>A</w:t>
      </w:r>
    </w:p>
    <w:p>
      <w:pPr>
        <w:pStyle w:val="6"/>
        <w:numPr>
          <w:ilvl w:val="0"/>
          <w:numId w:val="2"/>
        </w:numPr>
        <w:spacing w:line="360" w:lineRule="auto"/>
        <w:ind w:left="567" w:hanging="567"/>
        <w:rPr>
          <w:rFonts w:cstheme="minorHAnsi"/>
          <w:sz w:val="26"/>
          <w:szCs w:val="26"/>
        </w:rPr>
      </w:pPr>
      <w:r>
        <w:rPr>
          <w:rFonts w:cstheme="minorHAnsi"/>
          <w:b/>
          <w:sz w:val="26"/>
          <w:szCs w:val="26"/>
        </w:rPr>
        <w:t>Le fibrome utérin</w:t>
      </w:r>
      <w:r>
        <w:rPr>
          <w:rFonts w:cstheme="minorHAnsi"/>
          <w:sz w:val="26"/>
          <w:szCs w:val="26"/>
        </w:rPr>
        <w:t xml:space="preserve"> est une tumeur bénigne développée au dépens de la muqueuse utérine.</w:t>
      </w:r>
      <w:r>
        <w:rPr>
          <w:rFonts w:hint="default" w:cstheme="minorHAnsi"/>
          <w:sz w:val="26"/>
          <w:szCs w:val="26"/>
          <w:lang w:val="fr-FR"/>
        </w:rPr>
        <w:tab/>
        <w:t/>
      </w:r>
      <w:r>
        <w:rPr>
          <w:rFonts w:hint="default" w:cstheme="minorHAnsi"/>
          <w:sz w:val="26"/>
          <w:szCs w:val="26"/>
          <w:lang w:val="fr-FR"/>
        </w:rPr>
        <w:tab/>
        <w:t/>
      </w:r>
      <w:r>
        <w:rPr>
          <w:rFonts w:hint="default" w:cstheme="minorHAnsi"/>
          <w:sz w:val="26"/>
          <w:szCs w:val="26"/>
          <w:lang w:val="fr-FR"/>
        </w:rPr>
        <w:tab/>
        <w:t/>
      </w:r>
      <w:r>
        <w:rPr>
          <w:rFonts w:hint="default" w:cstheme="minorHAnsi"/>
          <w:sz w:val="26"/>
          <w:szCs w:val="26"/>
          <w:lang w:val="fr-FR"/>
        </w:rPr>
        <w:tab/>
      </w:r>
      <w:r>
        <w:rPr>
          <w:rFonts w:hint="default" w:cstheme="minorHAnsi"/>
          <w:b/>
          <w:bCs/>
          <w:sz w:val="26"/>
          <w:szCs w:val="26"/>
          <w:lang w:val="fr-FR"/>
        </w:rPr>
        <w:t>B</w:t>
      </w:r>
    </w:p>
    <w:p>
      <w:pPr>
        <w:pStyle w:val="6"/>
        <w:numPr>
          <w:ilvl w:val="0"/>
          <w:numId w:val="2"/>
        </w:numPr>
        <w:ind w:left="567" w:hanging="567"/>
        <w:rPr>
          <w:rFonts w:cstheme="minorHAnsi"/>
          <w:b/>
          <w:bCs/>
          <w:sz w:val="26"/>
          <w:szCs w:val="26"/>
        </w:rPr>
      </w:pPr>
      <w:r>
        <w:rPr>
          <w:rFonts w:cstheme="minorHAnsi"/>
          <w:b/>
          <w:sz w:val="26"/>
          <w:szCs w:val="26"/>
        </w:rPr>
        <w:t>La souffrance fœtale</w:t>
      </w:r>
      <w:r>
        <w:rPr>
          <w:rFonts w:cstheme="minorHAnsi"/>
          <w:sz w:val="26"/>
          <w:szCs w:val="26"/>
        </w:rPr>
        <w:t xml:space="preserve"> est une contre-indication relative du déclenchement artificiel du travail</w:t>
      </w:r>
      <w:r>
        <w:rPr>
          <w:rFonts w:hint="default" w:cstheme="minorHAnsi"/>
          <w:sz w:val="26"/>
          <w:szCs w:val="26"/>
          <w:lang w:val="fr-FR"/>
        </w:rPr>
        <w:tab/>
        <w:t/>
      </w:r>
      <w:r>
        <w:rPr>
          <w:rFonts w:hint="default" w:cstheme="minorHAnsi"/>
          <w:sz w:val="26"/>
          <w:szCs w:val="26"/>
          <w:lang w:val="fr-FR"/>
        </w:rPr>
        <w:tab/>
        <w:t/>
      </w:r>
      <w:r>
        <w:rPr>
          <w:rFonts w:hint="default" w:cstheme="minorHAnsi"/>
          <w:sz w:val="26"/>
          <w:szCs w:val="26"/>
          <w:lang w:val="fr-FR"/>
        </w:rPr>
        <w:tab/>
      </w:r>
      <w:r>
        <w:rPr>
          <w:rFonts w:hint="default" w:cstheme="minorHAnsi"/>
          <w:b/>
          <w:bCs/>
          <w:sz w:val="26"/>
          <w:szCs w:val="26"/>
          <w:lang w:val="fr-FR"/>
        </w:rPr>
        <w:t>B</w:t>
      </w:r>
    </w:p>
    <w:p>
      <w:pPr>
        <w:pStyle w:val="6"/>
        <w:numPr>
          <w:ilvl w:val="0"/>
          <w:numId w:val="2"/>
        </w:numPr>
        <w:ind w:left="567" w:hanging="567"/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 xml:space="preserve">Le sphincter de l’anus est intact lors d’une </w:t>
      </w:r>
      <w:r>
        <w:rPr>
          <w:rFonts w:cstheme="minorHAnsi"/>
          <w:b/>
          <w:sz w:val="26"/>
          <w:szCs w:val="26"/>
        </w:rPr>
        <w:t>déchirure incomplète du périnée</w:t>
      </w:r>
      <w:r>
        <w:rPr>
          <w:rFonts w:hint="default" w:cstheme="minorHAnsi"/>
          <w:b/>
          <w:sz w:val="26"/>
          <w:szCs w:val="26"/>
          <w:lang w:val="fr-FR"/>
        </w:rPr>
        <w:tab/>
        <w:t>A</w:t>
      </w:r>
    </w:p>
    <w:p>
      <w:pPr>
        <w:pStyle w:val="6"/>
        <w:ind w:left="567"/>
        <w:rPr>
          <w:rFonts w:cstheme="minorHAnsi"/>
          <w:sz w:val="26"/>
          <w:szCs w:val="26"/>
        </w:rPr>
      </w:pPr>
    </w:p>
    <w:p>
      <w:pPr>
        <w:pStyle w:val="6"/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426"/>
        <w:rPr>
          <w:rFonts w:ascii="Calibri" w:hAnsi="Calibri" w:eastAsia="Calibri" w:cs="Times New Roman"/>
          <w:b/>
          <w:sz w:val="24"/>
          <w:szCs w:val="24"/>
        </w:rPr>
      </w:pPr>
      <w:r>
        <w:rPr>
          <w:rFonts w:ascii="Calibri" w:hAnsi="Calibri" w:eastAsia="Calibri" w:cs="Times New Roman"/>
          <w:b/>
          <w:sz w:val="24"/>
          <w:szCs w:val="24"/>
        </w:rPr>
        <w:t xml:space="preserve">Question à choix multiples : Parmi les propositions suivantes cocher celle (s) qui correspond (ent) à une réponse juste. Un point par question   </w:t>
      </w:r>
      <w:r>
        <w:rPr>
          <w:rFonts w:ascii="Calibri" w:hAnsi="Calibri" w:eastAsia="Calibri" w:cs="Times New Roman"/>
          <w:b/>
          <w:sz w:val="24"/>
          <w:szCs w:val="24"/>
          <w:u w:val="single"/>
        </w:rPr>
        <w:t>TOTAL= 30 points</w:t>
      </w:r>
    </w:p>
    <w:p>
      <w:pPr>
        <w:tabs>
          <w:tab w:val="left" w:pos="851"/>
        </w:tabs>
        <w:spacing w:after="0" w:line="240" w:lineRule="auto"/>
        <w:jc w:val="both"/>
        <w:rPr>
          <w:rFonts w:ascii="Calibri" w:hAnsi="Calibri" w:cs="Times New Roman"/>
          <w:sz w:val="24"/>
          <w:szCs w:val="24"/>
        </w:rPr>
      </w:pPr>
    </w:p>
    <w:p>
      <w:pPr>
        <w:pStyle w:val="6"/>
        <w:numPr>
          <w:ilvl w:val="0"/>
          <w:numId w:val="3"/>
        </w:numPr>
        <w:tabs>
          <w:tab w:val="left" w:pos="567"/>
          <w:tab w:val="left" w:pos="851"/>
        </w:tabs>
        <w:spacing w:after="0" w:line="276" w:lineRule="auto"/>
        <w:ind w:hanging="720"/>
        <w:rPr>
          <w:rFonts w:ascii="Calibri" w:hAnsi="Calibri" w:eastAsia="Calibri" w:cs="Times New Roman"/>
          <w:b/>
          <w:sz w:val="24"/>
        </w:rPr>
      </w:pPr>
      <w:r>
        <w:rPr>
          <w:rFonts w:ascii="Calibri" w:hAnsi="Calibri" w:eastAsia="Calibri" w:cs="Times New Roman"/>
          <w:b/>
          <w:sz w:val="24"/>
        </w:rPr>
        <w:t>L’atonie utérine est due :</w:t>
      </w:r>
    </w:p>
    <w:p>
      <w:pPr>
        <w:pStyle w:val="6"/>
        <w:numPr>
          <w:ilvl w:val="1"/>
          <w:numId w:val="4"/>
        </w:numPr>
        <w:tabs>
          <w:tab w:val="left" w:pos="284"/>
          <w:tab w:val="left" w:pos="993"/>
        </w:tabs>
        <w:spacing w:after="0" w:line="276" w:lineRule="auto"/>
        <w:ind w:hanging="731"/>
        <w:rPr>
          <w:rFonts w:ascii="Calibri" w:hAnsi="Calibri" w:cs="Times New Roman"/>
          <w:sz w:val="24"/>
        </w:rPr>
        <w:sectPr>
          <w:headerReference r:id="rId5" w:type="default"/>
          <w:footerReference r:id="rId6" w:type="default"/>
          <w:type w:val="continuous"/>
          <w:pgSz w:w="11906" w:h="16838"/>
          <w:pgMar w:top="1417" w:right="1029" w:bottom="1417" w:left="1417" w:header="426" w:footer="708" w:gutter="0"/>
          <w:cols w:space="708" w:num="1"/>
          <w:docGrid w:linePitch="360" w:charSpace="0"/>
        </w:sectPr>
      </w:pPr>
    </w:p>
    <w:p>
      <w:pPr>
        <w:pStyle w:val="6"/>
        <w:numPr>
          <w:ilvl w:val="1"/>
          <w:numId w:val="4"/>
        </w:numPr>
        <w:tabs>
          <w:tab w:val="left" w:pos="284"/>
          <w:tab w:val="left" w:pos="993"/>
        </w:tabs>
        <w:spacing w:after="0" w:line="276" w:lineRule="auto"/>
        <w:ind w:hanging="731"/>
        <w:rPr>
          <w:rFonts w:ascii="Calibri" w:hAnsi="Calibri" w:cs="Times New Roman"/>
          <w:sz w:val="24"/>
          <w:highlight w:val="magenta"/>
        </w:rPr>
      </w:pPr>
      <w:r>
        <w:rPr>
          <w:rFonts w:ascii="Calibri" w:hAnsi="Calibri" w:cs="Times New Roman"/>
          <w:sz w:val="24"/>
          <w:highlight w:val="magenta"/>
        </w:rPr>
        <w:t>Surdistension utérine</w:t>
      </w:r>
    </w:p>
    <w:p>
      <w:pPr>
        <w:pStyle w:val="6"/>
        <w:numPr>
          <w:ilvl w:val="1"/>
          <w:numId w:val="4"/>
        </w:numPr>
        <w:tabs>
          <w:tab w:val="left" w:pos="284"/>
          <w:tab w:val="left" w:pos="993"/>
        </w:tabs>
        <w:spacing w:after="0" w:line="276" w:lineRule="auto"/>
        <w:ind w:hanging="731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HELLP syndrome                           </w:t>
      </w:r>
    </w:p>
    <w:p>
      <w:pPr>
        <w:pStyle w:val="6"/>
        <w:numPr>
          <w:ilvl w:val="1"/>
          <w:numId w:val="4"/>
        </w:numPr>
        <w:tabs>
          <w:tab w:val="left" w:pos="284"/>
          <w:tab w:val="left" w:pos="993"/>
        </w:tabs>
        <w:spacing w:after="0" w:line="276" w:lineRule="auto"/>
        <w:ind w:hanging="731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  <w:highlight w:val="magenta"/>
        </w:rPr>
        <w:t>Chorioamniotite</w:t>
      </w:r>
    </w:p>
    <w:p>
      <w:pPr>
        <w:pStyle w:val="6"/>
        <w:numPr>
          <w:ilvl w:val="1"/>
          <w:numId w:val="4"/>
        </w:numPr>
        <w:tabs>
          <w:tab w:val="left" w:pos="284"/>
          <w:tab w:val="left" w:pos="993"/>
        </w:tabs>
        <w:spacing w:after="0" w:line="276" w:lineRule="auto"/>
        <w:ind w:hanging="731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Déchirure cervicale</w:t>
      </w:r>
    </w:p>
    <w:p>
      <w:pPr>
        <w:pStyle w:val="6"/>
        <w:numPr>
          <w:ilvl w:val="1"/>
          <w:numId w:val="4"/>
        </w:numPr>
        <w:tabs>
          <w:tab w:val="left" w:pos="284"/>
          <w:tab w:val="left" w:pos="993"/>
        </w:tabs>
        <w:spacing w:after="0" w:line="276" w:lineRule="auto"/>
        <w:ind w:hanging="731"/>
        <w:rPr>
          <w:rFonts w:ascii="Calibri" w:hAnsi="Calibri" w:cs="Times New Roman"/>
          <w:sz w:val="24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2"/>
          <w:docGrid w:linePitch="360" w:charSpace="0"/>
        </w:sectPr>
      </w:pPr>
      <w:r>
        <w:rPr>
          <w:rFonts w:ascii="Calibri" w:hAnsi="Calibri" w:cs="Times New Roman"/>
          <w:sz w:val="24"/>
        </w:rPr>
        <w:t>Débris placentaires</w:t>
      </w:r>
    </w:p>
    <w:p>
      <w:pPr>
        <w:pStyle w:val="6"/>
        <w:numPr>
          <w:ilvl w:val="0"/>
          <w:numId w:val="3"/>
        </w:numPr>
        <w:tabs>
          <w:tab w:val="left" w:pos="567"/>
          <w:tab w:val="left" w:pos="851"/>
        </w:tabs>
        <w:spacing w:after="0" w:line="276" w:lineRule="auto"/>
        <w:ind w:left="709" w:hanging="709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La GATPA a pour objectif :</w:t>
      </w:r>
    </w:p>
    <w:p>
      <w:pPr>
        <w:pStyle w:val="6"/>
        <w:numPr>
          <w:ilvl w:val="0"/>
          <w:numId w:val="5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1"/>
          <w:docGrid w:linePitch="360" w:charSpace="0"/>
        </w:sectPr>
      </w:pPr>
    </w:p>
    <w:p>
      <w:pPr>
        <w:pStyle w:val="6"/>
        <w:numPr>
          <w:ilvl w:val="0"/>
          <w:numId w:val="5"/>
        </w:numPr>
        <w:tabs>
          <w:tab w:val="left" w:pos="284"/>
          <w:tab w:val="left" w:pos="851"/>
        </w:tabs>
        <w:spacing w:after="0" w:line="276" w:lineRule="auto"/>
        <w:ind w:hanging="501"/>
        <w:rPr>
          <w:rFonts w:ascii="Calibri" w:hAnsi="Calibri" w:cs="Times New Roman"/>
          <w:sz w:val="24"/>
          <w:highlight w:val="magenta"/>
        </w:rPr>
      </w:pPr>
      <w:r>
        <w:rPr>
          <w:rFonts w:ascii="Calibri" w:hAnsi="Calibri" w:cs="Times New Roman"/>
          <w:sz w:val="24"/>
          <w:highlight w:val="magenta"/>
        </w:rPr>
        <w:t>Favoriser la rétraction utérine</w:t>
      </w:r>
    </w:p>
    <w:p>
      <w:pPr>
        <w:pStyle w:val="6"/>
        <w:numPr>
          <w:ilvl w:val="0"/>
          <w:numId w:val="5"/>
        </w:numPr>
        <w:tabs>
          <w:tab w:val="left" w:pos="284"/>
          <w:tab w:val="left" w:pos="851"/>
        </w:tabs>
        <w:spacing w:after="0" w:line="276" w:lineRule="auto"/>
        <w:ind w:hanging="501"/>
        <w:rPr>
          <w:rFonts w:ascii="Calibri" w:hAnsi="Calibri" w:cs="Times New Roman"/>
          <w:sz w:val="24"/>
          <w:highlight w:val="magenta"/>
        </w:rPr>
      </w:pPr>
      <w:r>
        <w:rPr>
          <w:rFonts w:ascii="Calibri" w:hAnsi="Calibri" w:cs="Times New Roman"/>
          <w:sz w:val="24"/>
          <w:highlight w:val="magenta"/>
        </w:rPr>
        <w:t>Accélérer le décollement placentaire</w:t>
      </w:r>
    </w:p>
    <w:p>
      <w:pPr>
        <w:pStyle w:val="6"/>
        <w:numPr>
          <w:ilvl w:val="0"/>
          <w:numId w:val="5"/>
        </w:numPr>
        <w:tabs>
          <w:tab w:val="left" w:pos="284"/>
          <w:tab w:val="left" w:pos="851"/>
        </w:tabs>
        <w:spacing w:after="0" w:line="276" w:lineRule="auto"/>
        <w:ind w:hanging="501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Diminuer la douleur</w:t>
      </w:r>
    </w:p>
    <w:p>
      <w:pPr>
        <w:pStyle w:val="6"/>
        <w:numPr>
          <w:ilvl w:val="0"/>
          <w:numId w:val="5"/>
        </w:numPr>
        <w:tabs>
          <w:tab w:val="left" w:pos="284"/>
          <w:tab w:val="left" w:pos="851"/>
        </w:tabs>
        <w:spacing w:after="0" w:line="276" w:lineRule="auto"/>
        <w:ind w:hanging="501"/>
        <w:rPr>
          <w:rFonts w:ascii="Calibri" w:hAnsi="Calibri" w:cs="Times New Roman"/>
          <w:sz w:val="24"/>
        </w:rPr>
        <w:sectPr>
          <w:type w:val="continuous"/>
          <w:pgSz w:w="11906" w:h="16838"/>
          <w:pgMar w:top="1417" w:right="1133" w:bottom="1417" w:left="1417" w:header="426" w:footer="708" w:gutter="0"/>
          <w:cols w:space="282" w:num="2"/>
          <w:docGrid w:linePitch="360" w:charSpace="0"/>
        </w:sectPr>
      </w:pPr>
      <w:r>
        <w:rPr>
          <w:rFonts w:ascii="Calibri" w:hAnsi="Calibri" w:cs="Times New Roman"/>
          <w:sz w:val="24"/>
        </w:rPr>
        <w:t>Augmenter les pertes sanguines</w:t>
      </w:r>
    </w:p>
    <w:p>
      <w:pPr>
        <w:pStyle w:val="6"/>
        <w:numPr>
          <w:ilvl w:val="0"/>
          <w:numId w:val="3"/>
        </w:numPr>
        <w:tabs>
          <w:tab w:val="left" w:pos="567"/>
          <w:tab w:val="left" w:pos="851"/>
        </w:tabs>
        <w:spacing w:after="0" w:line="276" w:lineRule="auto"/>
        <w:ind w:left="709" w:hanging="709"/>
        <w:rPr>
          <w:rFonts w:ascii="Calibri" w:hAnsi="Calibri" w:eastAsia="Calibri" w:cs="Times New Roman"/>
          <w:sz w:val="24"/>
        </w:rPr>
      </w:pPr>
      <w:r>
        <w:rPr>
          <w:rFonts w:ascii="Calibri" w:hAnsi="Calibri" w:eastAsia="Calibri" w:cs="Times New Roman"/>
          <w:b/>
          <w:sz w:val="24"/>
        </w:rPr>
        <w:t>Les facteurs de risque du diabète gestationnel</w:t>
      </w:r>
      <w:r>
        <w:rPr>
          <w:rFonts w:ascii="Calibri" w:hAnsi="Calibri" w:eastAsia="Calibri" w:cs="Times New Roman"/>
          <w:sz w:val="24"/>
        </w:rPr>
        <w:t> :</w:t>
      </w:r>
    </w:p>
    <w:p>
      <w:pPr>
        <w:pStyle w:val="6"/>
        <w:numPr>
          <w:ilvl w:val="0"/>
          <w:numId w:val="6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eastAsia="Calibri" w:cs="Times New Roman"/>
          <w:sz w:val="24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1"/>
          <w:docGrid w:linePitch="360" w:charSpace="0"/>
        </w:sectPr>
      </w:pPr>
    </w:p>
    <w:p>
      <w:pPr>
        <w:pStyle w:val="6"/>
        <w:numPr>
          <w:ilvl w:val="0"/>
          <w:numId w:val="6"/>
        </w:numPr>
        <w:tabs>
          <w:tab w:val="left" w:pos="284"/>
          <w:tab w:val="left" w:pos="567"/>
        </w:tabs>
        <w:spacing w:after="0" w:line="276" w:lineRule="auto"/>
        <w:ind w:left="784" w:leftChars="0" w:right="-283" w:hanging="425" w:firstLineChars="0"/>
        <w:rPr>
          <w:rFonts w:ascii="Calibri" w:hAnsi="Calibri" w:eastAsia="Calibri" w:cs="Times New Roman"/>
          <w:sz w:val="24"/>
        </w:rPr>
      </w:pPr>
      <w:r>
        <w:rPr>
          <w:rFonts w:ascii="Calibri" w:hAnsi="Calibri" w:eastAsia="Calibri" w:cs="Times New Roman"/>
          <w:sz w:val="24"/>
          <w:highlight w:val="magenta"/>
        </w:rPr>
        <w:t>Age maternel ≥ 35 ans</w:t>
      </w:r>
    </w:p>
    <w:p>
      <w:pPr>
        <w:pStyle w:val="6"/>
        <w:numPr>
          <w:ilvl w:val="0"/>
          <w:numId w:val="6"/>
        </w:numPr>
        <w:tabs>
          <w:tab w:val="left" w:pos="284"/>
          <w:tab w:val="left" w:pos="567"/>
        </w:tabs>
        <w:spacing w:after="0" w:line="276" w:lineRule="auto"/>
        <w:ind w:left="784" w:leftChars="0" w:right="-283" w:hanging="425" w:firstLineChars="0"/>
        <w:rPr>
          <w:rFonts w:ascii="Calibri" w:hAnsi="Calibri" w:eastAsia="Calibri" w:cs="Times New Roman"/>
          <w:sz w:val="24"/>
        </w:rPr>
      </w:pPr>
      <w:r>
        <w:rPr>
          <w:rFonts w:ascii="Calibri" w:hAnsi="Calibri" w:eastAsia="Calibri" w:cs="Times New Roman"/>
          <w:sz w:val="24"/>
        </w:rPr>
        <w:t>Antécédent d’hématome rétro-placentaire</w:t>
      </w:r>
    </w:p>
    <w:p>
      <w:pPr>
        <w:pStyle w:val="6"/>
        <w:numPr>
          <w:ilvl w:val="0"/>
          <w:numId w:val="6"/>
        </w:numPr>
        <w:tabs>
          <w:tab w:val="left" w:pos="284"/>
          <w:tab w:val="left" w:pos="567"/>
          <w:tab w:val="left" w:pos="8175"/>
        </w:tabs>
        <w:spacing w:after="0" w:line="276" w:lineRule="auto"/>
        <w:ind w:left="784" w:leftChars="0" w:right="-283" w:hanging="425" w:firstLineChars="0"/>
        <w:rPr>
          <w:rFonts w:ascii="Calibri" w:hAnsi="Calibri" w:eastAsia="Calibri" w:cs="Times New Roman"/>
          <w:sz w:val="24"/>
        </w:rPr>
      </w:pPr>
      <w:r>
        <w:rPr>
          <w:rFonts w:ascii="Calibri" w:hAnsi="Calibri" w:eastAsia="Calibri" w:cs="Times New Roman"/>
          <w:sz w:val="24"/>
        </w:rPr>
        <w:t>Primiparité</w:t>
      </w:r>
    </w:p>
    <w:p>
      <w:pPr>
        <w:pStyle w:val="6"/>
        <w:numPr>
          <w:ilvl w:val="0"/>
          <w:numId w:val="6"/>
        </w:numPr>
        <w:tabs>
          <w:tab w:val="left" w:pos="284"/>
          <w:tab w:val="left" w:pos="567"/>
          <w:tab w:val="left" w:pos="8175"/>
        </w:tabs>
        <w:spacing w:after="0" w:line="276" w:lineRule="auto"/>
        <w:ind w:left="784" w:leftChars="0" w:right="922" w:hanging="784" w:firstLineChars="0"/>
        <w:rPr>
          <w:rFonts w:ascii="Calibri" w:hAnsi="Calibri" w:eastAsia="Calibri" w:cs="Times New Roman"/>
          <w:sz w:val="24"/>
        </w:rPr>
      </w:pPr>
      <w:r>
        <w:rPr>
          <w:rFonts w:ascii="Calibri" w:hAnsi="Calibri" w:eastAsia="Calibri" w:cs="Times New Roman"/>
          <w:sz w:val="24"/>
          <w:highlight w:val="magenta"/>
        </w:rPr>
        <w:t>obésité</w:t>
      </w:r>
      <w:r>
        <w:rPr>
          <w:rFonts w:ascii="Calibri" w:hAnsi="Calibri" w:eastAsia="Calibri" w:cs="Times New Roman"/>
          <w:sz w:val="24"/>
        </w:rPr>
        <w:tab/>
      </w:r>
    </w:p>
    <w:p>
      <w:pPr>
        <w:pStyle w:val="6"/>
        <w:numPr>
          <w:ilvl w:val="0"/>
          <w:numId w:val="6"/>
        </w:numPr>
        <w:tabs>
          <w:tab w:val="left" w:pos="284"/>
          <w:tab w:val="left" w:pos="567"/>
        </w:tabs>
        <w:spacing w:after="0" w:line="276" w:lineRule="auto"/>
        <w:ind w:left="784" w:leftChars="0" w:hanging="784" w:firstLineChars="0"/>
        <w:rPr>
          <w:rFonts w:ascii="Calibri" w:hAnsi="Calibri" w:eastAsia="Calibri" w:cs="Times New Roman"/>
          <w:sz w:val="24"/>
        </w:rPr>
        <w:sectPr>
          <w:type w:val="continuous"/>
          <w:pgSz w:w="11906" w:h="16838"/>
          <w:pgMar w:top="1417" w:right="140" w:bottom="1417" w:left="1417" w:header="426" w:footer="708" w:gutter="0"/>
          <w:cols w:space="282" w:num="2"/>
          <w:docGrid w:linePitch="360" w:charSpace="0"/>
        </w:sectPr>
      </w:pPr>
      <w:r>
        <w:rPr>
          <w:rFonts w:ascii="Calibri" w:hAnsi="Calibri" w:eastAsia="Calibri" w:cs="Times New Roman"/>
          <w:sz w:val="24"/>
        </w:rPr>
        <w:t xml:space="preserve">RCIU                                                       </w:t>
      </w:r>
    </w:p>
    <w:p>
      <w:pPr>
        <w:pStyle w:val="6"/>
        <w:tabs>
          <w:tab w:val="left" w:pos="284"/>
          <w:tab w:val="left" w:pos="851"/>
        </w:tabs>
        <w:spacing w:after="0" w:line="276" w:lineRule="auto"/>
        <w:ind w:left="1068"/>
        <w:rPr>
          <w:rFonts w:ascii="Calibri" w:hAnsi="Calibri" w:eastAsia="Calibri" w:cs="Times New Roman"/>
          <w:sz w:val="24"/>
        </w:rPr>
      </w:pPr>
    </w:p>
    <w:p>
      <w:pPr>
        <w:pStyle w:val="6"/>
        <w:tabs>
          <w:tab w:val="left" w:pos="284"/>
          <w:tab w:val="left" w:pos="851"/>
        </w:tabs>
        <w:spacing w:after="0" w:line="276" w:lineRule="auto"/>
        <w:ind w:left="1068"/>
        <w:rPr>
          <w:rFonts w:ascii="Calibri" w:hAnsi="Calibri" w:eastAsia="Calibri" w:cs="Times New Roman"/>
          <w:sz w:val="24"/>
        </w:rPr>
      </w:pPr>
    </w:p>
    <w:p>
      <w:pPr>
        <w:pStyle w:val="6"/>
        <w:numPr>
          <w:ilvl w:val="0"/>
          <w:numId w:val="3"/>
        </w:numPr>
        <w:tabs>
          <w:tab w:val="left" w:pos="567"/>
          <w:tab w:val="left" w:pos="851"/>
        </w:tabs>
        <w:spacing w:after="0" w:line="276" w:lineRule="auto"/>
        <w:ind w:left="709" w:hanging="709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La révision utérine est réalisée :</w:t>
      </w:r>
    </w:p>
    <w:p>
      <w:pPr>
        <w:pStyle w:val="6"/>
        <w:numPr>
          <w:ilvl w:val="0"/>
          <w:numId w:val="7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Systématiquement chez la multipare</w:t>
      </w:r>
    </w:p>
    <w:p>
      <w:pPr>
        <w:pStyle w:val="6"/>
        <w:numPr>
          <w:ilvl w:val="0"/>
          <w:numId w:val="7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highlight w:val="magenta"/>
        </w:rPr>
      </w:pPr>
      <w:r>
        <w:rPr>
          <w:rFonts w:ascii="Calibri" w:hAnsi="Calibri" w:cs="Times New Roman"/>
          <w:sz w:val="24"/>
          <w:highlight w:val="magenta"/>
        </w:rPr>
        <w:t>En cas de rétention placentaire incomplète</w:t>
      </w:r>
    </w:p>
    <w:p>
      <w:pPr>
        <w:pStyle w:val="6"/>
        <w:numPr>
          <w:ilvl w:val="0"/>
          <w:numId w:val="7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highlight w:val="magenta"/>
        </w:rPr>
      </w:pPr>
      <w:r>
        <w:rPr>
          <w:rFonts w:ascii="Calibri" w:hAnsi="Calibri" w:cs="Times New Roman"/>
          <w:sz w:val="24"/>
          <w:highlight w:val="magenta"/>
        </w:rPr>
        <w:t>Si le placenta est partiellement décollé</w:t>
      </w:r>
    </w:p>
    <w:p>
      <w:pPr>
        <w:pStyle w:val="6"/>
        <w:numPr>
          <w:ilvl w:val="0"/>
          <w:numId w:val="7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Rétention placentaire complète</w:t>
      </w:r>
    </w:p>
    <w:p>
      <w:pPr>
        <w:pStyle w:val="6"/>
        <w:numPr>
          <w:ilvl w:val="0"/>
          <w:numId w:val="3"/>
        </w:numPr>
        <w:tabs>
          <w:tab w:val="left" w:pos="567"/>
          <w:tab w:val="left" w:pos="851"/>
        </w:tabs>
        <w:spacing w:after="0" w:line="276" w:lineRule="auto"/>
        <w:ind w:left="709" w:hanging="709"/>
        <w:rPr>
          <w:rFonts w:ascii="Calibri" w:hAnsi="Calibri" w:eastAsia="Calibri" w:cs="Times New Roman"/>
          <w:b/>
          <w:sz w:val="24"/>
        </w:rPr>
      </w:pPr>
      <w:r>
        <w:rPr>
          <w:rFonts w:ascii="Calibri" w:hAnsi="Calibri" w:eastAsia="Calibri" w:cs="Times New Roman"/>
          <w:b/>
          <w:sz w:val="24"/>
        </w:rPr>
        <w:t>Les complications fœtales chez une gestante atteinte du paludisme sont :</w:t>
      </w:r>
    </w:p>
    <w:p>
      <w:pPr>
        <w:pStyle w:val="6"/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eastAsia="Calibri" w:cs="Times New Roman"/>
          <w:sz w:val="24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1"/>
          <w:docGrid w:linePitch="360" w:charSpace="0"/>
        </w:sectPr>
      </w:pPr>
    </w:p>
    <w:p>
      <w:pPr>
        <w:pStyle w:val="6"/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1134" w:hanging="425"/>
        <w:rPr>
          <w:rFonts w:ascii="Calibri" w:hAnsi="Calibri" w:eastAsia="Calibri" w:cs="Times New Roman"/>
          <w:sz w:val="24"/>
        </w:rPr>
      </w:pPr>
      <w:r>
        <w:rPr>
          <w:rFonts w:ascii="Calibri" w:hAnsi="Calibri" w:eastAsia="Calibri" w:cs="Times New Roman"/>
          <w:sz w:val="24"/>
        </w:rPr>
        <w:t>Malformation</w:t>
      </w:r>
    </w:p>
    <w:p>
      <w:pPr>
        <w:pStyle w:val="6"/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1134" w:hanging="425"/>
        <w:rPr>
          <w:rFonts w:ascii="Calibri" w:hAnsi="Calibri" w:eastAsia="Calibri" w:cs="Times New Roman"/>
          <w:sz w:val="24"/>
          <w:highlight w:val="magenta"/>
        </w:rPr>
      </w:pPr>
      <w:r>
        <w:rPr>
          <w:rFonts w:ascii="Calibri" w:hAnsi="Calibri" w:eastAsia="Calibri" w:cs="Times New Roman"/>
          <w:sz w:val="24"/>
          <w:highlight w:val="magenta"/>
        </w:rPr>
        <w:t>Prématurité</w:t>
      </w:r>
    </w:p>
    <w:p>
      <w:pPr>
        <w:pStyle w:val="6"/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709" w:hanging="425"/>
        <w:rPr>
          <w:rFonts w:ascii="Calibri" w:hAnsi="Calibri" w:eastAsia="Calibri" w:cs="Times New Roman"/>
          <w:sz w:val="24"/>
        </w:rPr>
      </w:pPr>
      <w:r>
        <w:rPr>
          <w:rFonts w:ascii="Calibri" w:hAnsi="Calibri" w:eastAsia="Calibri" w:cs="Times New Roman"/>
          <w:sz w:val="24"/>
        </w:rPr>
        <w:t>Macrosomie</w:t>
      </w:r>
    </w:p>
    <w:p>
      <w:pPr>
        <w:pStyle w:val="6"/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709" w:hanging="425"/>
        <w:rPr>
          <w:rFonts w:ascii="Calibri" w:hAnsi="Calibri" w:eastAsia="Calibri" w:cs="Times New Roman"/>
          <w:sz w:val="24"/>
          <w:highlight w:val="magenta"/>
        </w:rPr>
      </w:pPr>
      <w:r>
        <w:rPr>
          <w:rFonts w:ascii="Calibri" w:hAnsi="Calibri" w:eastAsia="Calibri" w:cs="Times New Roman"/>
          <w:sz w:val="24"/>
          <w:highlight w:val="magenta"/>
        </w:rPr>
        <w:t>Mort fœtale in utéro</w:t>
      </w:r>
    </w:p>
    <w:p>
      <w:pPr>
        <w:pStyle w:val="6"/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709" w:hanging="425"/>
        <w:rPr>
          <w:rFonts w:ascii="Calibri" w:hAnsi="Calibri" w:cs="Times New Roman"/>
        </w:rPr>
        <w:sectPr>
          <w:type w:val="continuous"/>
          <w:pgSz w:w="11906" w:h="16838"/>
          <w:pgMar w:top="1417" w:right="1133" w:bottom="1417" w:left="1417" w:header="426" w:footer="708" w:gutter="0"/>
          <w:cols w:space="282" w:num="2"/>
          <w:docGrid w:linePitch="360" w:charSpace="0"/>
        </w:sectPr>
      </w:pPr>
      <w:r>
        <w:rPr>
          <w:rFonts w:ascii="Calibri" w:hAnsi="Calibri" w:cs="Times New Roman"/>
        </w:rPr>
        <w:t>Avortement</w:t>
      </w:r>
    </w:p>
    <w:p>
      <w:pPr>
        <w:pStyle w:val="6"/>
        <w:numPr>
          <w:ilvl w:val="0"/>
          <w:numId w:val="3"/>
        </w:numPr>
        <w:tabs>
          <w:tab w:val="left" w:pos="567"/>
          <w:tab w:val="left" w:pos="851"/>
        </w:tabs>
        <w:spacing w:after="0" w:line="276" w:lineRule="auto"/>
        <w:ind w:left="709" w:hanging="709"/>
        <w:rPr>
          <w:rFonts w:ascii="Calibri" w:hAnsi="Calibri" w:eastAsia="Calibri" w:cs="Times New Roman"/>
          <w:b/>
          <w:sz w:val="24"/>
        </w:rPr>
      </w:pPr>
      <w:r>
        <w:rPr>
          <w:rFonts w:ascii="Calibri" w:hAnsi="Calibri" w:eastAsia="Calibri" w:cs="Times New Roman"/>
          <w:b/>
          <w:sz w:val="24"/>
        </w:rPr>
        <w:t>Le ou Les facteur(s) favorisant l’endométrite :</w:t>
      </w:r>
    </w:p>
    <w:p>
      <w:pPr>
        <w:pStyle w:val="6"/>
        <w:numPr>
          <w:ilvl w:val="0"/>
          <w:numId w:val="9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eastAsia="Calibri" w:cs="Times New Roman"/>
          <w:sz w:val="24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1"/>
          <w:docGrid w:linePitch="360" w:charSpace="0"/>
        </w:sectPr>
      </w:pPr>
    </w:p>
    <w:p>
      <w:pPr>
        <w:pStyle w:val="6"/>
        <w:numPr>
          <w:ilvl w:val="0"/>
          <w:numId w:val="9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eastAsia="Calibri" w:cs="Times New Roman"/>
          <w:sz w:val="24"/>
          <w:highlight w:val="magenta"/>
        </w:rPr>
      </w:pPr>
      <w:r>
        <w:rPr>
          <w:rFonts w:ascii="Calibri" w:hAnsi="Calibri" w:eastAsia="Calibri" w:cs="Times New Roman"/>
          <w:sz w:val="24"/>
          <w:highlight w:val="magenta"/>
        </w:rPr>
        <w:t>Travail prolongé</w:t>
      </w:r>
    </w:p>
    <w:p>
      <w:pPr>
        <w:pStyle w:val="6"/>
        <w:numPr>
          <w:ilvl w:val="0"/>
          <w:numId w:val="9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eastAsia="Calibri" w:cs="Times New Roman"/>
          <w:sz w:val="24"/>
          <w:highlight w:val="magenta"/>
        </w:rPr>
      </w:pPr>
      <w:r>
        <w:rPr>
          <w:rFonts w:ascii="Calibri" w:hAnsi="Calibri" w:eastAsia="Calibri" w:cs="Times New Roman"/>
          <w:sz w:val="24"/>
          <w:highlight w:val="magenta"/>
        </w:rPr>
        <w:t>Chorioamniotite</w:t>
      </w:r>
    </w:p>
    <w:p>
      <w:pPr>
        <w:pStyle w:val="6"/>
        <w:numPr>
          <w:ilvl w:val="0"/>
          <w:numId w:val="9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eastAsia="Calibri" w:cs="Times New Roman"/>
          <w:sz w:val="24"/>
          <w:highlight w:val="magenta"/>
        </w:rPr>
      </w:pPr>
      <w:r>
        <w:rPr>
          <w:rFonts w:ascii="Calibri" w:hAnsi="Calibri" w:eastAsia="Calibri" w:cs="Times New Roman"/>
          <w:sz w:val="24"/>
          <w:highlight w:val="magenta"/>
        </w:rPr>
        <w:t>Anémie non corrigée</w:t>
      </w:r>
    </w:p>
    <w:p>
      <w:pPr>
        <w:pStyle w:val="6"/>
        <w:numPr>
          <w:ilvl w:val="0"/>
          <w:numId w:val="9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eastAsia="Calibri" w:cs="Times New Roman"/>
          <w:sz w:val="24"/>
          <w:highlight w:val="magenta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2"/>
          <w:docGrid w:linePitch="360" w:charSpace="0"/>
        </w:sectPr>
      </w:pPr>
      <w:r>
        <w:rPr>
          <w:rFonts w:ascii="Calibri" w:hAnsi="Calibri" w:eastAsia="Calibri" w:cs="Times New Roman"/>
          <w:sz w:val="24"/>
          <w:highlight w:val="magenta"/>
        </w:rPr>
        <w:t>RPM  &gt; à 12 heures</w:t>
      </w:r>
    </w:p>
    <w:p>
      <w:pPr>
        <w:pStyle w:val="6"/>
        <w:widowControl w:val="0"/>
        <w:numPr>
          <w:ilvl w:val="0"/>
          <w:numId w:val="3"/>
        </w:numPr>
        <w:tabs>
          <w:tab w:val="left" w:pos="567"/>
          <w:tab w:val="left" w:pos="851"/>
        </w:tabs>
        <w:autoSpaceDE w:val="0"/>
        <w:autoSpaceDN w:val="0"/>
        <w:adjustRightInd w:val="0"/>
        <w:spacing w:after="0" w:line="276" w:lineRule="auto"/>
        <w:ind w:left="709" w:hanging="709"/>
        <w:rPr>
          <w:rFonts w:ascii="Calibri" w:hAnsi="Calibri" w:eastAsia="Times New Roman" w:cs="Times New Roman"/>
          <w:b/>
          <w:sz w:val="24"/>
          <w:szCs w:val="24"/>
          <w:lang w:eastAsia="fr-FR"/>
        </w:rPr>
      </w:pPr>
      <w:r>
        <w:rPr>
          <w:rFonts w:ascii="Calibri" w:hAnsi="Calibri" w:eastAsia="Calibri" w:cs="Times New Roman"/>
          <w:b/>
          <w:sz w:val="24"/>
        </w:rPr>
        <w:t>La ou les complication(s) propre(s)  de la carence en acide folique :</w:t>
      </w:r>
    </w:p>
    <w:p>
      <w:pPr>
        <w:pStyle w:val="6"/>
        <w:widowControl w:val="0"/>
        <w:numPr>
          <w:ilvl w:val="0"/>
          <w:numId w:val="10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76" w:lineRule="auto"/>
        <w:rPr>
          <w:rFonts w:ascii="Calibri" w:hAnsi="Calibri" w:eastAsia="Times New Roman" w:cs="Times New Roman"/>
          <w:sz w:val="24"/>
          <w:szCs w:val="24"/>
          <w:highlight w:val="magenta"/>
          <w:lang w:eastAsia="fr-FR"/>
        </w:rPr>
      </w:pPr>
      <w:r>
        <w:rPr>
          <w:rFonts w:ascii="Calibri" w:hAnsi="Calibri" w:eastAsia="Times New Roman" w:cs="Times New Roman"/>
          <w:sz w:val="24"/>
          <w:szCs w:val="24"/>
          <w:highlight w:val="magenta"/>
          <w:lang w:eastAsia="fr-FR"/>
        </w:rPr>
        <w:t>Menace d’accouchement prématuré</w:t>
      </w:r>
    </w:p>
    <w:p>
      <w:pPr>
        <w:pStyle w:val="6"/>
        <w:widowControl w:val="0"/>
        <w:numPr>
          <w:ilvl w:val="0"/>
          <w:numId w:val="10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76" w:lineRule="auto"/>
        <w:rPr>
          <w:rFonts w:ascii="Calibri" w:hAnsi="Calibri" w:eastAsia="Times New Roman" w:cs="Times New Roman"/>
          <w:sz w:val="24"/>
          <w:szCs w:val="24"/>
          <w:highlight w:val="magenta"/>
          <w:lang w:eastAsia="fr-FR"/>
        </w:rPr>
      </w:pPr>
      <w:r>
        <w:rPr>
          <w:rFonts w:ascii="Calibri" w:hAnsi="Calibri" w:eastAsia="Times New Roman" w:cs="Times New Roman"/>
          <w:sz w:val="24"/>
          <w:szCs w:val="24"/>
          <w:highlight w:val="magenta"/>
          <w:lang w:eastAsia="fr-FR"/>
        </w:rPr>
        <w:t>malformations fœtales</w:t>
      </w:r>
    </w:p>
    <w:p>
      <w:pPr>
        <w:pStyle w:val="6"/>
        <w:widowControl w:val="0"/>
        <w:numPr>
          <w:ilvl w:val="0"/>
          <w:numId w:val="10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76" w:lineRule="auto"/>
        <w:rPr>
          <w:rFonts w:ascii="Calibri" w:hAnsi="Calibri" w:eastAsia="Times New Roman" w:cs="Times New Roman"/>
          <w:sz w:val="24"/>
          <w:szCs w:val="24"/>
          <w:lang w:eastAsia="fr-FR"/>
        </w:rPr>
      </w:pPr>
      <w:r>
        <w:rPr>
          <w:rFonts w:ascii="Calibri" w:hAnsi="Calibri" w:eastAsia="Times New Roman" w:cs="Times New Roman"/>
          <w:sz w:val="24"/>
          <w:szCs w:val="24"/>
          <w:lang w:eastAsia="fr-FR"/>
        </w:rPr>
        <w:t>Oligoamnios</w:t>
      </w:r>
    </w:p>
    <w:p>
      <w:pPr>
        <w:pStyle w:val="6"/>
        <w:widowControl w:val="0"/>
        <w:numPr>
          <w:ilvl w:val="0"/>
          <w:numId w:val="10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76" w:lineRule="auto"/>
        <w:rPr>
          <w:rFonts w:ascii="Calibri" w:hAnsi="Calibri" w:eastAsia="Times New Roman" w:cs="Times New Roman"/>
          <w:sz w:val="24"/>
          <w:szCs w:val="24"/>
          <w:highlight w:val="magenta"/>
          <w:lang w:eastAsia="fr-FR"/>
        </w:rPr>
      </w:pPr>
      <w:r>
        <w:rPr>
          <w:rFonts w:ascii="Calibri" w:hAnsi="Calibri" w:eastAsia="Times New Roman" w:cs="Times New Roman"/>
          <w:sz w:val="24"/>
          <w:szCs w:val="24"/>
          <w:highlight w:val="magenta"/>
          <w:lang w:eastAsia="fr-FR"/>
        </w:rPr>
        <w:t>Œuf clair</w:t>
      </w:r>
    </w:p>
    <w:p>
      <w:pPr>
        <w:pStyle w:val="6"/>
        <w:numPr>
          <w:ilvl w:val="0"/>
          <w:numId w:val="3"/>
        </w:numPr>
        <w:tabs>
          <w:tab w:val="left" w:pos="567"/>
          <w:tab w:val="left" w:pos="851"/>
        </w:tabs>
        <w:spacing w:after="0" w:line="276" w:lineRule="auto"/>
        <w:ind w:left="709" w:hanging="709"/>
        <w:rPr>
          <w:rFonts w:ascii="Calibri" w:hAnsi="Calibri" w:eastAsia="Calibri" w:cs="Times New Roman"/>
          <w:b/>
          <w:sz w:val="24"/>
        </w:rPr>
      </w:pPr>
      <w:r>
        <w:rPr>
          <w:rFonts w:ascii="Calibri" w:hAnsi="Calibri" w:eastAsia="Calibri" w:cs="Times New Roman"/>
          <w:b/>
          <w:sz w:val="24"/>
        </w:rPr>
        <w:t>La ou Les cause(s) d’une hauteur utérine excessive :</w:t>
      </w:r>
    </w:p>
    <w:p>
      <w:pPr>
        <w:pStyle w:val="6"/>
        <w:numPr>
          <w:ilvl w:val="0"/>
          <w:numId w:val="11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eastAsia="Calibri" w:cs="Times New Roman"/>
          <w:sz w:val="24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1"/>
          <w:docGrid w:linePitch="360" w:charSpace="0"/>
        </w:sectPr>
      </w:pPr>
    </w:p>
    <w:p>
      <w:pPr>
        <w:pStyle w:val="6"/>
        <w:numPr>
          <w:ilvl w:val="0"/>
          <w:numId w:val="11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eastAsia="Calibri" w:cs="Times New Roman"/>
          <w:sz w:val="24"/>
        </w:rPr>
      </w:pPr>
      <w:r>
        <w:rPr>
          <w:rFonts w:ascii="Calibri" w:hAnsi="Calibri" w:eastAsia="Calibri" w:cs="Times New Roman"/>
          <w:sz w:val="24"/>
        </w:rPr>
        <w:t>RCIU</w:t>
      </w:r>
    </w:p>
    <w:p>
      <w:pPr>
        <w:pStyle w:val="6"/>
        <w:numPr>
          <w:ilvl w:val="0"/>
          <w:numId w:val="11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eastAsia="Calibri" w:cs="Times New Roman"/>
          <w:sz w:val="24"/>
        </w:rPr>
      </w:pPr>
      <w:r>
        <w:rPr>
          <w:rFonts w:ascii="Calibri" w:hAnsi="Calibri" w:eastAsia="Calibri" w:cs="Times New Roman"/>
          <w:sz w:val="24"/>
          <w:highlight w:val="magenta"/>
        </w:rPr>
        <w:t>Macrosomie</w:t>
      </w:r>
    </w:p>
    <w:p>
      <w:pPr>
        <w:pStyle w:val="6"/>
        <w:numPr>
          <w:ilvl w:val="0"/>
          <w:numId w:val="11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eastAsia="Calibri" w:cs="Times New Roman"/>
          <w:sz w:val="24"/>
        </w:rPr>
      </w:pPr>
      <w:r>
        <w:rPr>
          <w:rFonts w:ascii="Calibri" w:hAnsi="Calibri" w:eastAsia="Calibri" w:cs="Times New Roman"/>
          <w:sz w:val="24"/>
        </w:rPr>
        <w:t>Oligoamnios</w:t>
      </w:r>
    </w:p>
    <w:p>
      <w:pPr>
        <w:pStyle w:val="6"/>
        <w:numPr>
          <w:ilvl w:val="0"/>
          <w:numId w:val="11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eastAsia="Calibri" w:cs="Times New Roman"/>
          <w:sz w:val="24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2"/>
          <w:docGrid w:linePitch="360" w:charSpace="0"/>
        </w:sectPr>
      </w:pPr>
      <w:r>
        <w:rPr>
          <w:rFonts w:ascii="Calibri" w:hAnsi="Calibri" w:eastAsia="Calibri" w:cs="Times New Roman"/>
          <w:sz w:val="24"/>
          <w:highlight w:val="magenta"/>
        </w:rPr>
        <w:t>Fibrome et grossesse</w:t>
      </w:r>
    </w:p>
    <w:p>
      <w:pPr>
        <w:pStyle w:val="6"/>
        <w:numPr>
          <w:ilvl w:val="0"/>
          <w:numId w:val="3"/>
        </w:numPr>
        <w:tabs>
          <w:tab w:val="left" w:pos="567"/>
          <w:tab w:val="left" w:pos="851"/>
        </w:tabs>
        <w:spacing w:after="0" w:line="276" w:lineRule="auto"/>
        <w:ind w:left="709" w:hanging="709"/>
        <w:rPr>
          <w:rFonts w:ascii="Calibri" w:hAnsi="Calibri" w:eastAsia="Calibri" w:cs="Times New Roman"/>
          <w:sz w:val="24"/>
        </w:rPr>
      </w:pPr>
      <w:r>
        <w:rPr>
          <w:rFonts w:ascii="Calibri" w:hAnsi="Calibri" w:eastAsia="Calibri" w:cs="Times New Roman"/>
          <w:b/>
          <w:sz w:val="24"/>
        </w:rPr>
        <w:t>La ou Les contre(s) indication(s) absolues au déclenchement du travail</w:t>
      </w:r>
      <w:r>
        <w:rPr>
          <w:rFonts w:ascii="Calibri" w:hAnsi="Calibri" w:eastAsia="Calibri" w:cs="Times New Roman"/>
          <w:sz w:val="24"/>
        </w:rPr>
        <w:t> :</w:t>
      </w:r>
    </w:p>
    <w:p>
      <w:pPr>
        <w:pStyle w:val="6"/>
        <w:numPr>
          <w:ilvl w:val="0"/>
          <w:numId w:val="12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eastAsia="Calibri" w:cs="Times New Roman"/>
          <w:sz w:val="24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1"/>
          <w:docGrid w:linePitch="360" w:charSpace="0"/>
        </w:sectPr>
      </w:pPr>
    </w:p>
    <w:p>
      <w:pPr>
        <w:pStyle w:val="6"/>
        <w:numPr>
          <w:ilvl w:val="0"/>
          <w:numId w:val="12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eastAsia="Calibri" w:cs="Times New Roman"/>
          <w:sz w:val="24"/>
        </w:rPr>
      </w:pPr>
      <w:r>
        <w:rPr>
          <w:rFonts w:ascii="Calibri" w:hAnsi="Calibri" w:eastAsia="Calibri" w:cs="Times New Roman"/>
          <w:sz w:val="24"/>
        </w:rPr>
        <w:t>Dépassement de terme</w:t>
      </w:r>
    </w:p>
    <w:p>
      <w:pPr>
        <w:pStyle w:val="6"/>
        <w:numPr>
          <w:ilvl w:val="0"/>
          <w:numId w:val="12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eastAsia="Calibri" w:cs="Times New Roman"/>
          <w:sz w:val="24"/>
          <w:highlight w:val="magenta"/>
        </w:rPr>
      </w:pPr>
      <w:r>
        <w:rPr>
          <w:rFonts w:ascii="Calibri" w:hAnsi="Calibri" w:eastAsia="Calibri" w:cs="Times New Roman"/>
          <w:sz w:val="24"/>
          <w:highlight w:val="magenta"/>
        </w:rPr>
        <w:t xml:space="preserve">Souffrance fœtale </w:t>
      </w:r>
    </w:p>
    <w:p>
      <w:pPr>
        <w:pStyle w:val="6"/>
        <w:numPr>
          <w:ilvl w:val="0"/>
          <w:numId w:val="12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eastAsia="Calibri" w:cs="Times New Roman"/>
          <w:sz w:val="24"/>
        </w:rPr>
      </w:pPr>
      <w:r>
        <w:rPr>
          <w:rFonts w:ascii="Calibri" w:hAnsi="Calibri" w:eastAsia="Calibri" w:cs="Times New Roman"/>
          <w:sz w:val="24"/>
          <w:highlight w:val="magenta"/>
        </w:rPr>
        <w:t>Obstacle præviad</w:t>
      </w:r>
    </w:p>
    <w:p>
      <w:pPr>
        <w:pStyle w:val="6"/>
        <w:numPr>
          <w:ilvl w:val="0"/>
          <w:numId w:val="12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eastAsia="Calibri" w:cs="Times New Roman"/>
          <w:sz w:val="24"/>
        </w:rPr>
      </w:pPr>
      <w:r>
        <w:rPr>
          <w:rFonts w:ascii="Calibri" w:hAnsi="Calibri" w:eastAsia="Calibri" w:cs="Times New Roman"/>
          <w:sz w:val="24"/>
        </w:rPr>
        <w:t>RPM</w:t>
      </w:r>
    </w:p>
    <w:p>
      <w:pPr>
        <w:pStyle w:val="6"/>
        <w:numPr>
          <w:ilvl w:val="0"/>
          <w:numId w:val="12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eastAsia="Calibri" w:cs="Times New Roman"/>
          <w:sz w:val="24"/>
        </w:rPr>
      </w:pPr>
      <w:r>
        <w:rPr>
          <w:rFonts w:ascii="Calibri" w:hAnsi="Calibri" w:eastAsia="Calibri" w:cs="Times New Roman"/>
          <w:sz w:val="24"/>
        </w:rPr>
        <w:t>Mort fœtale in utéro</w:t>
      </w:r>
    </w:p>
    <w:p>
      <w:pPr>
        <w:pStyle w:val="6"/>
        <w:numPr>
          <w:ilvl w:val="0"/>
          <w:numId w:val="3"/>
        </w:numPr>
        <w:tabs>
          <w:tab w:val="left" w:pos="567"/>
        </w:tabs>
        <w:spacing w:after="0" w:line="276" w:lineRule="auto"/>
        <w:ind w:left="709" w:hanging="709"/>
        <w:rPr>
          <w:rFonts w:ascii="Calibri" w:hAnsi="Calibri" w:eastAsia="Times New Roman" w:cs="Times New Roman"/>
          <w:b/>
          <w:sz w:val="24"/>
          <w:szCs w:val="28"/>
          <w:lang w:eastAsia="fr-FR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2"/>
          <w:docGrid w:linePitch="360" w:charSpace="0"/>
        </w:sectPr>
      </w:pPr>
    </w:p>
    <w:p>
      <w:pPr>
        <w:pStyle w:val="6"/>
        <w:numPr>
          <w:ilvl w:val="0"/>
          <w:numId w:val="3"/>
        </w:numPr>
        <w:tabs>
          <w:tab w:val="left" w:pos="567"/>
        </w:tabs>
        <w:spacing w:after="0" w:line="276" w:lineRule="auto"/>
        <w:ind w:left="709" w:hanging="709"/>
        <w:rPr>
          <w:rFonts w:ascii="Calibri" w:hAnsi="Calibri" w:cs="Times New Roman"/>
          <w:sz w:val="24"/>
          <w:szCs w:val="28"/>
          <w:lang w:eastAsia="fr-FR"/>
        </w:rPr>
      </w:pPr>
      <w:r>
        <w:rPr>
          <w:rFonts w:ascii="Calibri" w:hAnsi="Calibri" w:eastAsia="Times New Roman" w:cs="Times New Roman"/>
          <w:b/>
          <w:sz w:val="24"/>
          <w:szCs w:val="28"/>
          <w:lang w:eastAsia="fr-FR"/>
        </w:rPr>
        <w:t>L’hémorragie du post-partum</w:t>
      </w:r>
      <w:r>
        <w:rPr>
          <w:rFonts w:ascii="Calibri" w:hAnsi="Calibri" w:eastAsia="Times New Roman" w:cs="Times New Roman"/>
          <w:sz w:val="24"/>
          <w:szCs w:val="28"/>
          <w:lang w:eastAsia="fr-FR"/>
        </w:rPr>
        <w:t xml:space="preserve"> (</w:t>
      </w:r>
      <w:r>
        <w:rPr>
          <w:rFonts w:ascii="Calibri" w:hAnsi="Calibri" w:eastAsia="Times New Roman" w:cs="Times New Roman"/>
          <w:b/>
          <w:sz w:val="24"/>
          <w:szCs w:val="28"/>
          <w:lang w:eastAsia="fr-FR"/>
        </w:rPr>
        <w:t>HPP</w:t>
      </w:r>
      <w:r>
        <w:rPr>
          <w:rFonts w:ascii="Calibri" w:hAnsi="Calibri" w:eastAsia="Times New Roman" w:cs="Times New Roman"/>
          <w:sz w:val="24"/>
          <w:szCs w:val="28"/>
          <w:lang w:eastAsia="fr-FR"/>
        </w:rPr>
        <w:t>) est causée par :</w:t>
      </w:r>
    </w:p>
    <w:p>
      <w:pPr>
        <w:pStyle w:val="6"/>
        <w:numPr>
          <w:ilvl w:val="0"/>
          <w:numId w:val="13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8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1"/>
          <w:docGrid w:linePitch="360" w:charSpace="0"/>
        </w:sectPr>
      </w:pPr>
    </w:p>
    <w:p>
      <w:pPr>
        <w:pStyle w:val="6"/>
        <w:numPr>
          <w:ilvl w:val="0"/>
          <w:numId w:val="13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8"/>
          <w:highlight w:val="magenta"/>
        </w:rPr>
      </w:pPr>
      <w:r>
        <w:rPr>
          <w:rFonts w:ascii="Calibri" w:hAnsi="Calibri" w:cs="Times New Roman"/>
          <w:sz w:val="24"/>
          <w:szCs w:val="28"/>
          <w:highlight w:val="magenta"/>
        </w:rPr>
        <w:t>Atonie utérine</w:t>
      </w:r>
    </w:p>
    <w:p>
      <w:pPr>
        <w:pStyle w:val="6"/>
        <w:numPr>
          <w:ilvl w:val="0"/>
          <w:numId w:val="13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8"/>
          <w:lang w:eastAsia="fr-FR"/>
        </w:rPr>
      </w:pPr>
      <w:r>
        <w:rPr>
          <w:rFonts w:ascii="Calibri" w:hAnsi="Calibri" w:cs="Times New Roman"/>
          <w:sz w:val="24"/>
          <w:szCs w:val="28"/>
        </w:rPr>
        <w:t>Souffrance fœtale</w:t>
      </w:r>
    </w:p>
    <w:p>
      <w:pPr>
        <w:pStyle w:val="6"/>
        <w:numPr>
          <w:ilvl w:val="0"/>
          <w:numId w:val="13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8"/>
          <w:lang w:eastAsia="fr-FR"/>
        </w:rPr>
      </w:pPr>
      <w:r>
        <w:rPr>
          <w:rFonts w:ascii="Calibri" w:hAnsi="Calibri" w:cs="Times New Roman"/>
          <w:sz w:val="24"/>
          <w:szCs w:val="28"/>
          <w:highlight w:val="magenta"/>
          <w:lang w:eastAsia="fr-FR"/>
        </w:rPr>
        <w:t>Rétention placentaire</w:t>
      </w:r>
    </w:p>
    <w:p>
      <w:pPr>
        <w:pStyle w:val="6"/>
        <w:numPr>
          <w:ilvl w:val="0"/>
          <w:numId w:val="13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8"/>
          <w:lang w:eastAsia="fr-FR"/>
        </w:rPr>
      </w:pPr>
      <w:r>
        <w:rPr>
          <w:rFonts w:ascii="Calibri" w:hAnsi="Calibri" w:cs="Times New Roman"/>
          <w:sz w:val="24"/>
          <w:szCs w:val="28"/>
          <w:lang w:eastAsia="fr-FR"/>
        </w:rPr>
        <w:t>Disproportion foeto pelvienne</w:t>
      </w:r>
    </w:p>
    <w:p>
      <w:pPr>
        <w:pStyle w:val="6"/>
        <w:numPr>
          <w:ilvl w:val="0"/>
          <w:numId w:val="13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8"/>
          <w:lang w:eastAsia="fr-FR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2"/>
          <w:docGrid w:linePitch="360" w:charSpace="0"/>
        </w:sectPr>
      </w:pPr>
      <w:r>
        <w:rPr>
          <w:rFonts w:ascii="Calibri" w:hAnsi="Calibri" w:cs="Times New Roman"/>
          <w:sz w:val="24"/>
          <w:szCs w:val="28"/>
          <w:lang w:eastAsia="fr-FR"/>
        </w:rPr>
        <w:t xml:space="preserve">Pré-éclampsie </w:t>
      </w:r>
    </w:p>
    <w:p>
      <w:pPr>
        <w:pStyle w:val="6"/>
        <w:numPr>
          <w:ilvl w:val="0"/>
          <w:numId w:val="3"/>
        </w:numPr>
        <w:tabs>
          <w:tab w:val="left" w:pos="567"/>
          <w:tab w:val="left" w:pos="851"/>
        </w:tabs>
        <w:spacing w:after="0" w:line="276" w:lineRule="auto"/>
        <w:ind w:left="709" w:hanging="709"/>
        <w:rPr>
          <w:rFonts w:ascii="Calibri" w:hAnsi="Calibri" w:cs="Times New Roman"/>
          <w:b/>
          <w:sz w:val="24"/>
          <w:szCs w:val="28"/>
          <w:lang w:eastAsia="fr-FR"/>
        </w:rPr>
      </w:pPr>
      <w:r>
        <w:rPr>
          <w:rFonts w:ascii="Calibri" w:hAnsi="Calibri" w:cs="Times New Roman"/>
          <w:b/>
          <w:sz w:val="24"/>
          <w:szCs w:val="28"/>
          <w:lang w:eastAsia="fr-FR"/>
        </w:rPr>
        <w:t>Cocher la ou les phase(s) de la GATPA</w:t>
      </w:r>
    </w:p>
    <w:p>
      <w:pPr>
        <w:pStyle w:val="6"/>
        <w:numPr>
          <w:ilvl w:val="0"/>
          <w:numId w:val="14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eastAsia="Times New Roman" w:cs="Times New Roman"/>
          <w:sz w:val="24"/>
          <w:szCs w:val="28"/>
          <w:lang w:eastAsia="fr-FR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1"/>
          <w:docGrid w:linePitch="360" w:charSpace="0"/>
        </w:sectPr>
      </w:pPr>
    </w:p>
    <w:p>
      <w:pPr>
        <w:pStyle w:val="6"/>
        <w:numPr>
          <w:ilvl w:val="0"/>
          <w:numId w:val="14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eastAsia="Times New Roman" w:cs="Times New Roman"/>
          <w:sz w:val="24"/>
          <w:szCs w:val="28"/>
          <w:highlight w:val="magenta"/>
          <w:lang w:eastAsia="fr-FR"/>
        </w:rPr>
      </w:pPr>
      <w:r>
        <w:rPr>
          <w:rFonts w:ascii="Calibri" w:hAnsi="Calibri" w:eastAsia="Times New Roman" w:cs="Times New Roman"/>
          <w:sz w:val="24"/>
          <w:szCs w:val="28"/>
          <w:highlight w:val="magenta"/>
          <w:lang w:eastAsia="fr-FR"/>
        </w:rPr>
        <w:t>L’injection d’un utéro tonique</w:t>
      </w:r>
    </w:p>
    <w:p>
      <w:pPr>
        <w:pStyle w:val="6"/>
        <w:numPr>
          <w:ilvl w:val="0"/>
          <w:numId w:val="14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8"/>
          <w:lang w:eastAsia="fr-FR"/>
        </w:rPr>
      </w:pPr>
      <w:r>
        <w:rPr>
          <w:rFonts w:ascii="Calibri" w:hAnsi="Calibri" w:eastAsia="Times New Roman" w:cs="Times New Roman"/>
          <w:sz w:val="24"/>
          <w:szCs w:val="28"/>
          <w:highlight w:val="magenta"/>
          <w:lang w:eastAsia="fr-FR"/>
        </w:rPr>
        <w:t>La traction contrôlée du cordon</w:t>
      </w:r>
      <w:r>
        <w:rPr>
          <w:rFonts w:ascii="Calibri" w:hAnsi="Calibri" w:eastAsia="Times New Roman" w:cs="Times New Roman"/>
          <w:sz w:val="24"/>
          <w:szCs w:val="28"/>
          <w:lang w:eastAsia="fr-FR"/>
        </w:rPr>
        <w:t> </w:t>
      </w:r>
    </w:p>
    <w:p>
      <w:pPr>
        <w:pStyle w:val="6"/>
        <w:numPr>
          <w:ilvl w:val="0"/>
          <w:numId w:val="14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8"/>
          <w:lang w:eastAsia="fr-FR"/>
        </w:rPr>
      </w:pPr>
      <w:r>
        <w:rPr>
          <w:rFonts w:ascii="Calibri" w:hAnsi="Calibri" w:cs="Times New Roman"/>
          <w:sz w:val="24"/>
          <w:szCs w:val="28"/>
          <w:lang w:eastAsia="fr-FR"/>
        </w:rPr>
        <w:t>Révision utérine</w:t>
      </w:r>
    </w:p>
    <w:p>
      <w:pPr>
        <w:pStyle w:val="6"/>
        <w:numPr>
          <w:ilvl w:val="0"/>
          <w:numId w:val="14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8"/>
          <w:lang w:eastAsia="fr-FR"/>
        </w:rPr>
      </w:pPr>
      <w:r>
        <w:rPr>
          <w:rFonts w:ascii="Calibri" w:hAnsi="Calibri" w:cs="Times New Roman"/>
          <w:sz w:val="24"/>
          <w:szCs w:val="28"/>
          <w:lang w:eastAsia="fr-FR"/>
        </w:rPr>
        <w:t xml:space="preserve">Tamponnement utérin         </w:t>
      </w:r>
    </w:p>
    <w:p>
      <w:pPr>
        <w:pStyle w:val="6"/>
        <w:numPr>
          <w:ilvl w:val="0"/>
          <w:numId w:val="14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8"/>
          <w:lang w:eastAsia="fr-FR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2"/>
          <w:docGrid w:linePitch="360" w:charSpace="0"/>
        </w:sectPr>
      </w:pPr>
      <w:r>
        <w:rPr>
          <w:rFonts w:ascii="Calibri" w:hAnsi="Calibri" w:cs="Times New Roman"/>
          <w:sz w:val="24"/>
          <w:szCs w:val="28"/>
          <w:lang w:eastAsia="fr-FR"/>
        </w:rPr>
        <w:t xml:space="preserve">Délivrance artificielle  </w:t>
      </w:r>
    </w:p>
    <w:p>
      <w:pPr>
        <w:pStyle w:val="6"/>
        <w:numPr>
          <w:ilvl w:val="0"/>
          <w:numId w:val="3"/>
        </w:numPr>
        <w:tabs>
          <w:tab w:val="left" w:pos="567"/>
          <w:tab w:val="left" w:pos="851"/>
        </w:tabs>
        <w:spacing w:after="0" w:line="276" w:lineRule="auto"/>
        <w:ind w:left="709" w:hanging="709"/>
        <w:rPr>
          <w:rFonts w:ascii="Calibri" w:hAnsi="Calibri" w:cs="Times New Roman"/>
          <w:b/>
          <w:sz w:val="24"/>
          <w:szCs w:val="28"/>
          <w:lang w:eastAsia="fr-FR"/>
        </w:rPr>
      </w:pPr>
      <w:r>
        <w:rPr>
          <w:rFonts w:ascii="Calibri" w:hAnsi="Calibri" w:cs="Times New Roman"/>
          <w:b/>
          <w:sz w:val="24"/>
          <w:szCs w:val="28"/>
          <w:lang w:eastAsia="fr-FR"/>
        </w:rPr>
        <w:t>Cocher la ou les contre-indications de l’accouchement par voie basse de la présentation de siège.</w:t>
      </w:r>
    </w:p>
    <w:p>
      <w:pPr>
        <w:pStyle w:val="6"/>
        <w:numPr>
          <w:ilvl w:val="0"/>
          <w:numId w:val="15"/>
        </w:numPr>
        <w:tabs>
          <w:tab w:val="left" w:pos="284"/>
          <w:tab w:val="left" w:pos="851"/>
        </w:tabs>
        <w:spacing w:after="0" w:line="276" w:lineRule="auto"/>
        <w:jc w:val="both"/>
        <w:rPr>
          <w:rFonts w:ascii="Calibri" w:hAnsi="Calibri" w:cs="Times New Roman"/>
          <w:sz w:val="24"/>
          <w:szCs w:val="28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1"/>
          <w:docGrid w:linePitch="360" w:charSpace="0"/>
        </w:sectPr>
      </w:pPr>
    </w:p>
    <w:p>
      <w:pPr>
        <w:pStyle w:val="6"/>
        <w:numPr>
          <w:ilvl w:val="0"/>
          <w:numId w:val="15"/>
        </w:numPr>
        <w:tabs>
          <w:tab w:val="left" w:pos="284"/>
          <w:tab w:val="left" w:pos="851"/>
        </w:tabs>
        <w:spacing w:after="0" w:line="276" w:lineRule="auto"/>
        <w:jc w:val="both"/>
        <w:rPr>
          <w:rFonts w:ascii="Calibri" w:hAnsi="Calibri" w:cs="Times New Roman"/>
          <w:sz w:val="24"/>
          <w:szCs w:val="28"/>
        </w:rPr>
      </w:pPr>
      <w:r>
        <w:rPr>
          <w:rFonts w:ascii="Calibri" w:hAnsi="Calibri" w:cs="Times New Roman"/>
          <w:sz w:val="24"/>
          <w:szCs w:val="28"/>
          <w:highlight w:val="magenta"/>
        </w:rPr>
        <w:t>Bassin limite</w:t>
      </w:r>
    </w:p>
    <w:p>
      <w:pPr>
        <w:pStyle w:val="6"/>
        <w:numPr>
          <w:ilvl w:val="0"/>
          <w:numId w:val="15"/>
        </w:numPr>
        <w:tabs>
          <w:tab w:val="left" w:pos="284"/>
          <w:tab w:val="left" w:pos="851"/>
        </w:tabs>
        <w:spacing w:after="0" w:line="276" w:lineRule="auto"/>
        <w:jc w:val="both"/>
        <w:rPr>
          <w:rFonts w:ascii="Calibri" w:hAnsi="Calibri" w:cs="Times New Roman"/>
          <w:sz w:val="24"/>
          <w:szCs w:val="28"/>
        </w:rPr>
      </w:pPr>
      <w:r>
        <w:rPr>
          <w:rFonts w:ascii="Calibri" w:hAnsi="Calibri" w:cs="Times New Roman"/>
          <w:sz w:val="24"/>
          <w:szCs w:val="28"/>
        </w:rPr>
        <w:t>Multiparité</w:t>
      </w:r>
    </w:p>
    <w:p>
      <w:pPr>
        <w:pStyle w:val="6"/>
        <w:numPr>
          <w:ilvl w:val="0"/>
          <w:numId w:val="15"/>
        </w:numPr>
        <w:tabs>
          <w:tab w:val="left" w:pos="284"/>
          <w:tab w:val="left" w:pos="851"/>
          <w:tab w:val="center" w:pos="4536"/>
        </w:tabs>
        <w:spacing w:after="0" w:line="276" w:lineRule="auto"/>
        <w:rPr>
          <w:rFonts w:ascii="Calibri" w:hAnsi="Calibri" w:cs="Times New Roman"/>
          <w:sz w:val="24"/>
          <w:szCs w:val="28"/>
          <w:highlight w:val="magenta"/>
          <w:lang w:eastAsia="fr-FR"/>
        </w:rPr>
      </w:pPr>
      <w:r>
        <w:rPr>
          <w:rFonts w:ascii="Calibri" w:hAnsi="Calibri" w:cs="Times New Roman"/>
          <w:sz w:val="24"/>
          <w:szCs w:val="28"/>
          <w:highlight w:val="magenta"/>
          <w:lang w:eastAsia="fr-FR"/>
        </w:rPr>
        <w:t>antécédent d’hémorragie</w:t>
      </w:r>
    </w:p>
    <w:p>
      <w:pPr>
        <w:pStyle w:val="6"/>
        <w:numPr>
          <w:ilvl w:val="0"/>
          <w:numId w:val="15"/>
        </w:numPr>
        <w:tabs>
          <w:tab w:val="left" w:pos="284"/>
          <w:tab w:val="left" w:pos="851"/>
          <w:tab w:val="center" w:pos="4536"/>
        </w:tabs>
        <w:spacing w:after="0" w:line="276" w:lineRule="auto"/>
        <w:rPr>
          <w:rFonts w:ascii="Calibri" w:hAnsi="Calibri" w:cs="Times New Roman"/>
          <w:sz w:val="24"/>
          <w:szCs w:val="28"/>
          <w:lang w:eastAsia="fr-FR"/>
        </w:rPr>
      </w:pPr>
      <w:r>
        <w:rPr>
          <w:rFonts w:ascii="Calibri" w:hAnsi="Calibri" w:cs="Times New Roman"/>
          <w:sz w:val="24"/>
          <w:szCs w:val="28"/>
          <w:highlight w:val="magenta"/>
          <w:lang w:eastAsia="fr-FR"/>
        </w:rPr>
        <w:t>Placenta prævia</w:t>
      </w:r>
    </w:p>
    <w:p>
      <w:pPr>
        <w:pStyle w:val="6"/>
        <w:numPr>
          <w:ilvl w:val="0"/>
          <w:numId w:val="15"/>
        </w:numPr>
        <w:tabs>
          <w:tab w:val="left" w:pos="284"/>
          <w:tab w:val="left" w:pos="851"/>
          <w:tab w:val="center" w:pos="4536"/>
        </w:tabs>
        <w:spacing w:after="0" w:line="276" w:lineRule="auto"/>
        <w:rPr>
          <w:rFonts w:ascii="Calibri" w:hAnsi="Calibri" w:cs="Times New Roman"/>
          <w:sz w:val="24"/>
          <w:szCs w:val="28"/>
          <w:lang w:eastAsia="fr-FR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2"/>
          <w:docGrid w:linePitch="360" w:charSpace="0"/>
        </w:sectPr>
      </w:pPr>
      <w:r>
        <w:rPr>
          <w:rFonts w:ascii="Calibri" w:hAnsi="Calibri" w:cs="Times New Roman"/>
          <w:sz w:val="24"/>
          <w:szCs w:val="28"/>
          <w:lang w:eastAsia="fr-FR"/>
        </w:rPr>
        <w:t>macrosomie</w:t>
      </w:r>
    </w:p>
    <w:p>
      <w:pPr>
        <w:pStyle w:val="6"/>
        <w:numPr>
          <w:ilvl w:val="0"/>
          <w:numId w:val="3"/>
        </w:numPr>
        <w:tabs>
          <w:tab w:val="left" w:pos="567"/>
          <w:tab w:val="left" w:pos="851"/>
          <w:tab w:val="center" w:pos="4536"/>
        </w:tabs>
        <w:spacing w:after="0" w:line="276" w:lineRule="auto"/>
        <w:ind w:left="709" w:hanging="709"/>
        <w:rPr>
          <w:rFonts w:ascii="Calibri" w:hAnsi="Calibri" w:cs="Times New Roman"/>
          <w:b/>
          <w:sz w:val="24"/>
          <w:szCs w:val="28"/>
          <w:lang w:eastAsia="fr-FR"/>
        </w:rPr>
      </w:pPr>
      <w:r>
        <w:rPr>
          <w:rFonts w:ascii="Calibri" w:hAnsi="Calibri" w:cs="Times New Roman"/>
          <w:b/>
          <w:sz w:val="24"/>
          <w:szCs w:val="28"/>
          <w:lang w:eastAsia="fr-FR"/>
        </w:rPr>
        <w:t>Cocher la ou les indication(s) de l’épisiotomie</w:t>
      </w:r>
    </w:p>
    <w:p>
      <w:pPr>
        <w:pStyle w:val="6"/>
        <w:numPr>
          <w:ilvl w:val="0"/>
          <w:numId w:val="16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8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1"/>
          <w:docGrid w:linePitch="360" w:charSpace="0"/>
        </w:sectPr>
      </w:pPr>
    </w:p>
    <w:p>
      <w:pPr>
        <w:pStyle w:val="6"/>
        <w:numPr>
          <w:ilvl w:val="0"/>
          <w:numId w:val="16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8"/>
          <w:highlight w:val="magenta"/>
        </w:rPr>
      </w:pPr>
      <w:r>
        <w:rPr>
          <w:rFonts w:ascii="Calibri" w:hAnsi="Calibri" w:cs="Times New Roman"/>
          <w:sz w:val="24"/>
          <w:szCs w:val="28"/>
          <w:highlight w:val="magenta"/>
        </w:rPr>
        <w:t>Souffrance fœtale aigüe</w:t>
      </w:r>
    </w:p>
    <w:p>
      <w:pPr>
        <w:pStyle w:val="6"/>
        <w:numPr>
          <w:ilvl w:val="0"/>
          <w:numId w:val="16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8"/>
          <w:highlight w:val="magenta"/>
          <w:lang w:eastAsia="fr-FR"/>
        </w:rPr>
      </w:pPr>
      <w:r>
        <w:rPr>
          <w:rFonts w:ascii="Calibri" w:hAnsi="Calibri" w:cs="Times New Roman"/>
          <w:sz w:val="24"/>
          <w:szCs w:val="28"/>
          <w:highlight w:val="magenta"/>
        </w:rPr>
        <w:t>Accouchement du prématuré</w:t>
      </w:r>
    </w:p>
    <w:p>
      <w:pPr>
        <w:pStyle w:val="6"/>
        <w:numPr>
          <w:ilvl w:val="0"/>
          <w:numId w:val="16"/>
        </w:numPr>
        <w:tabs>
          <w:tab w:val="left" w:pos="284"/>
          <w:tab w:val="left" w:pos="851"/>
          <w:tab w:val="left" w:pos="5085"/>
        </w:tabs>
        <w:spacing w:after="0" w:line="276" w:lineRule="auto"/>
        <w:rPr>
          <w:rFonts w:ascii="Calibri" w:hAnsi="Calibri" w:cs="Times New Roman"/>
          <w:sz w:val="24"/>
          <w:szCs w:val="28"/>
          <w:lang w:eastAsia="fr-FR"/>
        </w:rPr>
      </w:pPr>
      <w:r>
        <w:rPr>
          <w:rFonts w:ascii="Calibri" w:hAnsi="Calibri" w:cs="Times New Roman"/>
          <w:sz w:val="24"/>
          <w:szCs w:val="28"/>
          <w:lang w:eastAsia="fr-FR"/>
        </w:rPr>
        <w:t>Travail trop rapide</w:t>
      </w:r>
    </w:p>
    <w:p>
      <w:pPr>
        <w:pStyle w:val="6"/>
        <w:numPr>
          <w:ilvl w:val="0"/>
          <w:numId w:val="16"/>
        </w:numPr>
        <w:tabs>
          <w:tab w:val="left" w:pos="284"/>
          <w:tab w:val="left" w:pos="851"/>
          <w:tab w:val="left" w:pos="5085"/>
        </w:tabs>
        <w:spacing w:after="0" w:line="276" w:lineRule="auto"/>
        <w:rPr>
          <w:rFonts w:ascii="Calibri" w:hAnsi="Calibri" w:cs="Times New Roman"/>
          <w:sz w:val="24"/>
          <w:szCs w:val="28"/>
          <w:lang w:eastAsia="fr-FR"/>
        </w:rPr>
      </w:pPr>
      <w:r>
        <w:rPr>
          <w:rFonts w:ascii="Calibri" w:hAnsi="Calibri" w:cs="Times New Roman"/>
          <w:sz w:val="24"/>
          <w:szCs w:val="28"/>
          <w:lang w:eastAsia="fr-FR"/>
        </w:rPr>
        <w:t>Abus d’ocytocique</w:t>
      </w:r>
    </w:p>
    <w:p>
      <w:pPr>
        <w:pStyle w:val="6"/>
        <w:numPr>
          <w:ilvl w:val="0"/>
          <w:numId w:val="16"/>
        </w:numPr>
        <w:tabs>
          <w:tab w:val="left" w:pos="284"/>
          <w:tab w:val="left" w:pos="851"/>
          <w:tab w:val="left" w:pos="5085"/>
        </w:tabs>
        <w:spacing w:after="0" w:line="276" w:lineRule="auto"/>
        <w:rPr>
          <w:rFonts w:ascii="Calibri" w:hAnsi="Calibri" w:cs="Times New Roman"/>
          <w:sz w:val="24"/>
          <w:szCs w:val="28"/>
          <w:highlight w:val="magenta"/>
          <w:lang w:eastAsia="fr-FR"/>
        </w:rPr>
      </w:pPr>
      <w:r>
        <w:rPr>
          <w:rFonts w:ascii="Calibri" w:hAnsi="Calibri" w:cs="Times New Roman"/>
          <w:sz w:val="24"/>
          <w:szCs w:val="28"/>
          <w:highlight w:val="magenta"/>
          <w:lang w:eastAsia="fr-FR"/>
        </w:rPr>
        <w:t>Macrosomie</w:t>
      </w:r>
    </w:p>
    <w:p>
      <w:pPr>
        <w:pStyle w:val="6"/>
        <w:tabs>
          <w:tab w:val="left" w:pos="284"/>
          <w:tab w:val="left" w:pos="851"/>
          <w:tab w:val="left" w:pos="5085"/>
        </w:tabs>
        <w:spacing w:after="0" w:line="276" w:lineRule="auto"/>
        <w:ind w:left="1068"/>
        <w:rPr>
          <w:rFonts w:ascii="Calibri" w:hAnsi="Calibri" w:cs="Times New Roman"/>
          <w:sz w:val="24"/>
          <w:szCs w:val="28"/>
          <w:lang w:eastAsia="fr-FR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2"/>
          <w:docGrid w:linePitch="360" w:charSpace="0"/>
        </w:sectPr>
      </w:pPr>
    </w:p>
    <w:p>
      <w:pPr>
        <w:pStyle w:val="6"/>
        <w:numPr>
          <w:numId w:val="0"/>
        </w:numPr>
        <w:tabs>
          <w:tab w:val="left" w:pos="567"/>
          <w:tab w:val="left" w:pos="851"/>
          <w:tab w:val="left" w:pos="5085"/>
        </w:tabs>
        <w:spacing w:after="0" w:line="276" w:lineRule="auto"/>
        <w:ind w:leftChars="0"/>
        <w:rPr>
          <w:rFonts w:ascii="Calibri" w:hAnsi="Calibri" w:cs="Times New Roman"/>
          <w:b/>
          <w:sz w:val="24"/>
          <w:szCs w:val="28"/>
          <w:lang w:eastAsia="fr-FR"/>
        </w:rPr>
      </w:pPr>
    </w:p>
    <w:p>
      <w:pPr>
        <w:pStyle w:val="6"/>
        <w:numPr>
          <w:ilvl w:val="0"/>
          <w:numId w:val="3"/>
        </w:numPr>
        <w:tabs>
          <w:tab w:val="left" w:pos="567"/>
          <w:tab w:val="left" w:pos="851"/>
          <w:tab w:val="left" w:pos="5085"/>
        </w:tabs>
        <w:spacing w:after="0" w:line="276" w:lineRule="auto"/>
        <w:ind w:left="709" w:hanging="709"/>
        <w:rPr>
          <w:rFonts w:ascii="Calibri" w:hAnsi="Calibri" w:cs="Times New Roman"/>
          <w:b/>
          <w:sz w:val="24"/>
          <w:szCs w:val="28"/>
          <w:lang w:eastAsia="fr-FR"/>
        </w:rPr>
      </w:pPr>
      <w:r>
        <w:rPr>
          <w:rFonts w:ascii="Calibri" w:hAnsi="Calibri" w:cs="Times New Roman"/>
          <w:b/>
          <w:sz w:val="24"/>
          <w:szCs w:val="28"/>
          <w:lang w:eastAsia="fr-FR"/>
        </w:rPr>
        <w:t>Cocher la ou les complications immédiates de l’épisiotomie</w:t>
      </w:r>
    </w:p>
    <w:p>
      <w:pPr>
        <w:pStyle w:val="6"/>
        <w:widowControl w:val="0"/>
        <w:numPr>
          <w:ilvl w:val="0"/>
          <w:numId w:val="17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Times New Roman"/>
          <w:sz w:val="24"/>
          <w:szCs w:val="28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1"/>
          <w:docGrid w:linePitch="360" w:charSpace="0"/>
        </w:sectPr>
      </w:pPr>
    </w:p>
    <w:p>
      <w:pPr>
        <w:pStyle w:val="6"/>
        <w:widowControl w:val="0"/>
        <w:numPr>
          <w:ilvl w:val="0"/>
          <w:numId w:val="17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Times New Roman"/>
          <w:sz w:val="24"/>
          <w:szCs w:val="28"/>
          <w:highlight w:val="magenta"/>
        </w:rPr>
      </w:pPr>
      <w:r>
        <w:rPr>
          <w:rFonts w:ascii="Calibri" w:hAnsi="Calibri" w:cs="Times New Roman"/>
          <w:sz w:val="24"/>
          <w:szCs w:val="28"/>
          <w:highlight w:val="magenta"/>
        </w:rPr>
        <w:t>Hémorragie</w:t>
      </w:r>
    </w:p>
    <w:p>
      <w:pPr>
        <w:pStyle w:val="6"/>
        <w:widowControl w:val="0"/>
        <w:numPr>
          <w:ilvl w:val="0"/>
          <w:numId w:val="17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Times New Roman"/>
          <w:sz w:val="24"/>
          <w:szCs w:val="28"/>
          <w:highlight w:val="magenta"/>
        </w:rPr>
      </w:pPr>
      <w:r>
        <w:rPr>
          <w:rFonts w:ascii="Calibri" w:hAnsi="Calibri" w:cs="Times New Roman"/>
          <w:sz w:val="24"/>
          <w:szCs w:val="28"/>
          <w:highlight w:val="magenta"/>
        </w:rPr>
        <w:t>Déchirures périnéales</w:t>
      </w:r>
    </w:p>
    <w:p>
      <w:pPr>
        <w:pStyle w:val="6"/>
        <w:widowControl w:val="0"/>
        <w:numPr>
          <w:ilvl w:val="0"/>
          <w:numId w:val="17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Times New Roman"/>
          <w:sz w:val="24"/>
          <w:szCs w:val="28"/>
        </w:rPr>
      </w:pPr>
      <w:r>
        <w:rPr>
          <w:rFonts w:ascii="Calibri" w:hAnsi="Calibri" w:cs="Times New Roman"/>
          <w:sz w:val="24"/>
          <w:szCs w:val="28"/>
        </w:rPr>
        <w:t>Dyspareunie</w:t>
      </w:r>
    </w:p>
    <w:p>
      <w:pPr>
        <w:pStyle w:val="6"/>
        <w:widowControl w:val="0"/>
        <w:numPr>
          <w:ilvl w:val="0"/>
          <w:numId w:val="17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Times New Roman"/>
          <w:sz w:val="24"/>
          <w:szCs w:val="28"/>
        </w:rPr>
      </w:pPr>
      <w:r>
        <w:rPr>
          <w:rFonts w:ascii="Calibri" w:hAnsi="Calibri" w:cs="Times New Roman"/>
          <w:sz w:val="24"/>
          <w:szCs w:val="28"/>
        </w:rPr>
        <w:t>Dysménorrhée</w:t>
      </w:r>
    </w:p>
    <w:p>
      <w:pPr>
        <w:pStyle w:val="6"/>
        <w:widowControl w:val="0"/>
        <w:numPr>
          <w:ilvl w:val="0"/>
          <w:numId w:val="17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Times New Roman"/>
          <w:sz w:val="24"/>
          <w:szCs w:val="28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2"/>
          <w:docGrid w:linePitch="360" w:charSpace="0"/>
        </w:sectPr>
      </w:pPr>
      <w:r>
        <w:rPr>
          <w:rFonts w:ascii="Calibri" w:hAnsi="Calibri" w:cs="Times New Roman"/>
          <w:sz w:val="24"/>
          <w:szCs w:val="28"/>
        </w:rPr>
        <w:t xml:space="preserve">Infection                                                              </w:t>
      </w:r>
    </w:p>
    <w:p>
      <w:pPr>
        <w:pStyle w:val="6"/>
        <w:widowControl w:val="0"/>
        <w:numPr>
          <w:ilvl w:val="0"/>
          <w:numId w:val="3"/>
        </w:numPr>
        <w:tabs>
          <w:tab w:val="left" w:pos="567"/>
          <w:tab w:val="left" w:pos="851"/>
        </w:tabs>
        <w:autoSpaceDE w:val="0"/>
        <w:autoSpaceDN w:val="0"/>
        <w:adjustRightInd w:val="0"/>
        <w:spacing w:after="0" w:line="276" w:lineRule="auto"/>
        <w:ind w:left="709" w:hanging="709"/>
        <w:jc w:val="both"/>
        <w:rPr>
          <w:rFonts w:ascii="Calibri" w:hAnsi="Calibri" w:cs="Times New Roman"/>
          <w:b/>
          <w:sz w:val="24"/>
          <w:szCs w:val="28"/>
        </w:rPr>
      </w:pPr>
      <w:r>
        <w:rPr>
          <w:rFonts w:ascii="Calibri" w:hAnsi="Calibri" w:cs="Times New Roman"/>
          <w:b/>
          <w:sz w:val="24"/>
          <w:szCs w:val="28"/>
        </w:rPr>
        <w:t>Cocher la ou les complication(s) maternelle de la drépanocytose majeure</w:t>
      </w:r>
    </w:p>
    <w:p>
      <w:pPr>
        <w:pStyle w:val="6"/>
        <w:numPr>
          <w:ilvl w:val="0"/>
          <w:numId w:val="18"/>
        </w:numPr>
        <w:tabs>
          <w:tab w:val="left" w:pos="284"/>
          <w:tab w:val="left" w:pos="851"/>
        </w:tabs>
        <w:spacing w:after="0" w:line="276" w:lineRule="auto"/>
        <w:jc w:val="both"/>
        <w:rPr>
          <w:rFonts w:ascii="Calibri" w:hAnsi="Calibri" w:cs="Times New Roman"/>
          <w:sz w:val="24"/>
          <w:szCs w:val="28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1"/>
          <w:docGrid w:linePitch="360" w:charSpace="0"/>
        </w:sectPr>
      </w:pPr>
    </w:p>
    <w:p>
      <w:pPr>
        <w:pStyle w:val="6"/>
        <w:numPr>
          <w:ilvl w:val="0"/>
          <w:numId w:val="18"/>
        </w:numPr>
        <w:tabs>
          <w:tab w:val="left" w:pos="284"/>
          <w:tab w:val="left" w:pos="851"/>
        </w:tabs>
        <w:spacing w:after="0" w:line="276" w:lineRule="auto"/>
        <w:jc w:val="both"/>
        <w:rPr>
          <w:rFonts w:ascii="Calibri" w:hAnsi="Calibri" w:cs="Times New Roman"/>
          <w:sz w:val="24"/>
          <w:szCs w:val="28"/>
        </w:rPr>
      </w:pPr>
      <w:r>
        <w:rPr>
          <w:rFonts w:ascii="Calibri" w:hAnsi="Calibri" w:cs="Times New Roman"/>
          <w:sz w:val="24"/>
          <w:szCs w:val="28"/>
          <w:highlight w:val="magenta"/>
        </w:rPr>
        <w:t>Anémie chronique</w:t>
      </w:r>
    </w:p>
    <w:p>
      <w:pPr>
        <w:pStyle w:val="6"/>
        <w:numPr>
          <w:ilvl w:val="0"/>
          <w:numId w:val="18"/>
        </w:numPr>
        <w:tabs>
          <w:tab w:val="left" w:pos="284"/>
          <w:tab w:val="left" w:pos="851"/>
        </w:tabs>
        <w:spacing w:after="0" w:line="276" w:lineRule="auto"/>
        <w:jc w:val="left"/>
        <w:rPr>
          <w:rFonts w:ascii="Calibri" w:hAnsi="Calibri" w:cs="Times New Roman"/>
          <w:sz w:val="24"/>
          <w:szCs w:val="28"/>
        </w:rPr>
      </w:pPr>
      <w:r>
        <w:rPr>
          <w:rFonts w:ascii="Calibri" w:hAnsi="Calibri" w:cs="Times New Roman"/>
          <w:sz w:val="24"/>
          <w:szCs w:val="28"/>
        </w:rPr>
        <w:t>Infections récidivantes pulmonaires</w:t>
      </w:r>
    </w:p>
    <w:p>
      <w:pPr>
        <w:pStyle w:val="6"/>
        <w:numPr>
          <w:ilvl w:val="0"/>
          <w:numId w:val="18"/>
        </w:numPr>
        <w:tabs>
          <w:tab w:val="left" w:pos="284"/>
          <w:tab w:val="left" w:pos="851"/>
        </w:tabs>
        <w:spacing w:after="0" w:line="276" w:lineRule="auto"/>
        <w:jc w:val="both"/>
        <w:rPr>
          <w:rFonts w:ascii="Calibri" w:hAnsi="Calibri" w:cs="Times New Roman"/>
          <w:sz w:val="24"/>
          <w:szCs w:val="28"/>
          <w:highlight w:val="magenta"/>
        </w:rPr>
      </w:pPr>
      <w:r>
        <w:rPr>
          <w:rFonts w:ascii="Calibri" w:hAnsi="Calibri" w:cs="Times New Roman"/>
          <w:sz w:val="24"/>
          <w:szCs w:val="28"/>
          <w:highlight w:val="magenta"/>
        </w:rPr>
        <w:t>Pré-éclampsie</w:t>
      </w:r>
    </w:p>
    <w:p>
      <w:pPr>
        <w:pStyle w:val="6"/>
        <w:numPr>
          <w:ilvl w:val="0"/>
          <w:numId w:val="18"/>
        </w:numPr>
        <w:tabs>
          <w:tab w:val="left" w:pos="284"/>
          <w:tab w:val="left" w:pos="851"/>
        </w:tabs>
        <w:spacing w:after="0" w:line="276" w:lineRule="auto"/>
        <w:jc w:val="both"/>
        <w:rPr>
          <w:rFonts w:ascii="Calibri" w:hAnsi="Calibri" w:cs="Times New Roman"/>
          <w:b/>
          <w:sz w:val="24"/>
          <w:szCs w:val="28"/>
          <w:highlight w:val="magenta"/>
        </w:rPr>
      </w:pPr>
      <w:r>
        <w:rPr>
          <w:rFonts w:ascii="Calibri" w:hAnsi="Calibri" w:cs="Times New Roman"/>
          <w:sz w:val="24"/>
          <w:szCs w:val="28"/>
          <w:highlight w:val="magenta"/>
        </w:rPr>
        <w:t>Crises vaso-occlusives</w:t>
      </w:r>
    </w:p>
    <w:p>
      <w:pPr>
        <w:pStyle w:val="6"/>
        <w:numPr>
          <w:ilvl w:val="0"/>
          <w:numId w:val="18"/>
        </w:numPr>
        <w:tabs>
          <w:tab w:val="left" w:pos="284"/>
          <w:tab w:val="left" w:pos="851"/>
          <w:tab w:val="center" w:pos="4536"/>
        </w:tabs>
        <w:spacing w:after="0" w:line="276" w:lineRule="auto"/>
        <w:rPr>
          <w:rFonts w:ascii="Calibri" w:hAnsi="Calibri" w:cs="Times New Roman"/>
          <w:sz w:val="24"/>
          <w:szCs w:val="28"/>
        </w:rPr>
        <w:sectPr>
          <w:type w:val="continuous"/>
          <w:pgSz w:w="11906" w:h="16838"/>
          <w:pgMar w:top="1417" w:right="1133" w:bottom="1417" w:left="1417" w:header="426" w:footer="708" w:gutter="0"/>
          <w:cols w:space="282" w:num="2"/>
          <w:docGrid w:linePitch="360" w:charSpace="0"/>
        </w:sectPr>
      </w:pPr>
      <w:r>
        <w:rPr>
          <w:rFonts w:ascii="Calibri" w:hAnsi="Calibri" w:cs="Times New Roman"/>
          <w:sz w:val="24"/>
          <w:szCs w:val="28"/>
          <w:highlight w:val="magenta"/>
        </w:rPr>
        <w:t>Hémorragies</w:t>
      </w:r>
    </w:p>
    <w:p>
      <w:pPr>
        <w:pStyle w:val="6"/>
        <w:numPr>
          <w:ilvl w:val="0"/>
          <w:numId w:val="3"/>
        </w:numPr>
        <w:tabs>
          <w:tab w:val="left" w:pos="567"/>
          <w:tab w:val="left" w:pos="851"/>
        </w:tabs>
        <w:spacing w:after="0" w:line="276" w:lineRule="auto"/>
        <w:ind w:left="709" w:hanging="709"/>
        <w:jc w:val="both"/>
        <w:rPr>
          <w:rFonts w:ascii="Calibri" w:hAnsi="Calibri" w:eastAsia="Times New Roman" w:cs="Times New Roman"/>
          <w:b/>
          <w:sz w:val="24"/>
          <w:szCs w:val="28"/>
          <w:lang w:eastAsia="fr-FR"/>
        </w:rPr>
      </w:pPr>
      <w:r>
        <w:rPr>
          <w:rFonts w:ascii="Calibri" w:hAnsi="Calibri" w:cs="Times New Roman"/>
          <w:b/>
          <w:sz w:val="24"/>
          <w:szCs w:val="28"/>
        </w:rPr>
        <w:t xml:space="preserve">Cocher la ou les </w:t>
      </w:r>
      <w:r>
        <w:rPr>
          <w:rFonts w:ascii="Calibri" w:hAnsi="Calibri" w:eastAsia="Times New Roman" w:cs="Times New Roman"/>
          <w:b/>
          <w:sz w:val="24"/>
          <w:szCs w:val="28"/>
          <w:lang w:eastAsia="fr-FR"/>
        </w:rPr>
        <w:t>complication(s) du fibrome dues à la grossesse</w:t>
      </w:r>
    </w:p>
    <w:p>
      <w:pPr>
        <w:pStyle w:val="6"/>
        <w:widowControl w:val="0"/>
        <w:numPr>
          <w:ilvl w:val="0"/>
          <w:numId w:val="19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Times New Roman"/>
          <w:sz w:val="24"/>
          <w:szCs w:val="28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1"/>
          <w:docGrid w:linePitch="360" w:charSpace="0"/>
        </w:sectPr>
      </w:pPr>
    </w:p>
    <w:p>
      <w:pPr>
        <w:pStyle w:val="6"/>
        <w:widowControl w:val="0"/>
        <w:numPr>
          <w:ilvl w:val="0"/>
          <w:numId w:val="19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76" w:lineRule="auto"/>
        <w:ind w:hanging="642"/>
        <w:jc w:val="both"/>
        <w:rPr>
          <w:rFonts w:ascii="Calibri" w:hAnsi="Calibri" w:cs="Times New Roman"/>
          <w:sz w:val="24"/>
          <w:szCs w:val="28"/>
          <w:highlight w:val="magenta"/>
        </w:rPr>
      </w:pPr>
      <w:r>
        <w:rPr>
          <w:rFonts w:ascii="Calibri" w:hAnsi="Calibri" w:cs="Times New Roman"/>
          <w:sz w:val="24"/>
          <w:szCs w:val="28"/>
          <w:highlight w:val="magenta"/>
        </w:rPr>
        <w:t>Augmentation du volume du myome</w:t>
      </w:r>
    </w:p>
    <w:p>
      <w:pPr>
        <w:pStyle w:val="6"/>
        <w:widowControl w:val="0"/>
        <w:numPr>
          <w:ilvl w:val="0"/>
          <w:numId w:val="19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76" w:lineRule="auto"/>
        <w:ind w:hanging="642"/>
        <w:jc w:val="both"/>
        <w:rPr>
          <w:rFonts w:ascii="Calibri" w:hAnsi="Calibri" w:cs="Times New Roman"/>
          <w:sz w:val="24"/>
          <w:szCs w:val="28"/>
          <w:highlight w:val="magenta"/>
        </w:rPr>
      </w:pPr>
      <w:r>
        <w:rPr>
          <w:rFonts w:ascii="Calibri" w:hAnsi="Calibri" w:cs="Times New Roman"/>
          <w:sz w:val="24"/>
          <w:szCs w:val="28"/>
          <w:highlight w:val="magenta"/>
        </w:rPr>
        <w:t>La nécrobiose aseptique </w:t>
      </w:r>
    </w:p>
    <w:p>
      <w:pPr>
        <w:pStyle w:val="6"/>
        <w:widowControl w:val="0"/>
        <w:numPr>
          <w:ilvl w:val="0"/>
          <w:numId w:val="19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76" w:lineRule="auto"/>
        <w:ind w:hanging="642"/>
        <w:jc w:val="both"/>
        <w:rPr>
          <w:rFonts w:ascii="Calibri" w:hAnsi="Calibri" w:cs="Times New Roman"/>
          <w:sz w:val="24"/>
          <w:szCs w:val="28"/>
        </w:rPr>
      </w:pPr>
      <w:r>
        <w:rPr>
          <w:rFonts w:ascii="Calibri" w:hAnsi="Calibri" w:cs="Times New Roman"/>
          <w:sz w:val="24"/>
          <w:szCs w:val="28"/>
        </w:rPr>
        <w:t>RCIU</w:t>
      </w:r>
    </w:p>
    <w:p>
      <w:pPr>
        <w:pStyle w:val="6"/>
        <w:widowControl w:val="0"/>
        <w:numPr>
          <w:ilvl w:val="0"/>
          <w:numId w:val="19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76" w:lineRule="auto"/>
        <w:ind w:hanging="642"/>
        <w:jc w:val="both"/>
        <w:rPr>
          <w:rFonts w:ascii="Calibri" w:hAnsi="Calibri" w:cs="Times New Roman"/>
          <w:sz w:val="24"/>
          <w:szCs w:val="28"/>
        </w:rPr>
      </w:pPr>
      <w:r>
        <w:rPr>
          <w:rFonts w:ascii="Calibri" w:hAnsi="Calibri" w:cs="Times New Roman"/>
          <w:sz w:val="24"/>
          <w:szCs w:val="28"/>
        </w:rPr>
        <w:t>Souffrance fœtale</w:t>
      </w:r>
    </w:p>
    <w:p>
      <w:pPr>
        <w:pStyle w:val="6"/>
        <w:widowControl w:val="0"/>
        <w:numPr>
          <w:ilvl w:val="0"/>
          <w:numId w:val="19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76" w:lineRule="auto"/>
        <w:ind w:hanging="642"/>
        <w:jc w:val="both"/>
        <w:rPr>
          <w:rFonts w:ascii="Calibri" w:hAnsi="Calibri" w:cs="Times New Roman"/>
          <w:sz w:val="24"/>
          <w:szCs w:val="28"/>
        </w:rPr>
        <w:sectPr>
          <w:type w:val="continuous"/>
          <w:pgSz w:w="11906" w:h="16838"/>
          <w:pgMar w:top="1417" w:right="1133" w:bottom="1417" w:left="1417" w:header="426" w:footer="708" w:gutter="0"/>
          <w:cols w:space="282" w:num="2"/>
          <w:docGrid w:linePitch="360" w:charSpace="0"/>
        </w:sectPr>
      </w:pPr>
      <w:r>
        <w:rPr>
          <w:rFonts w:ascii="Calibri" w:hAnsi="Calibri" w:cs="Times New Roman"/>
          <w:sz w:val="24"/>
          <w:szCs w:val="28"/>
        </w:rPr>
        <w:t>Présentation du siège</w:t>
      </w:r>
    </w:p>
    <w:p>
      <w:pPr>
        <w:pStyle w:val="6"/>
        <w:widowControl w:val="0"/>
        <w:numPr>
          <w:ilvl w:val="0"/>
          <w:numId w:val="3"/>
        </w:numPr>
        <w:tabs>
          <w:tab w:val="left" w:pos="567"/>
          <w:tab w:val="left" w:pos="851"/>
        </w:tabs>
        <w:autoSpaceDE w:val="0"/>
        <w:autoSpaceDN w:val="0"/>
        <w:adjustRightInd w:val="0"/>
        <w:spacing w:after="0" w:line="276" w:lineRule="auto"/>
        <w:ind w:left="709" w:hanging="709"/>
        <w:jc w:val="both"/>
        <w:rPr>
          <w:rFonts w:ascii="Calibri" w:hAnsi="Calibri" w:cs="Times New Roman"/>
          <w:sz w:val="24"/>
          <w:szCs w:val="28"/>
        </w:rPr>
      </w:pPr>
      <w:r>
        <w:rPr>
          <w:rFonts w:ascii="Calibri" w:hAnsi="Calibri" w:eastAsia="Calibri" w:cs="Times New Roman"/>
          <w:b/>
          <w:sz w:val="24"/>
          <w:szCs w:val="28"/>
        </w:rPr>
        <w:t xml:space="preserve">La ou Les cause(s) d’une hauteur utérine </w:t>
      </w:r>
      <w:r>
        <w:rPr>
          <w:rFonts w:ascii="Calibri" w:hAnsi="Calibri" w:cs="Times New Roman"/>
          <w:b/>
          <w:sz w:val="24"/>
          <w:szCs w:val="28"/>
        </w:rPr>
        <w:t>inférieure à la normale</w:t>
      </w:r>
      <w:r>
        <w:rPr>
          <w:rFonts w:ascii="Calibri" w:hAnsi="Calibri" w:cs="Times New Roman"/>
          <w:sz w:val="24"/>
          <w:szCs w:val="28"/>
        </w:rPr>
        <w:t>.</w:t>
      </w:r>
    </w:p>
    <w:p>
      <w:pPr>
        <w:pStyle w:val="6"/>
        <w:widowControl w:val="0"/>
        <w:numPr>
          <w:ilvl w:val="0"/>
          <w:numId w:val="20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Times New Roman"/>
          <w:sz w:val="24"/>
          <w:szCs w:val="28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1"/>
          <w:docGrid w:linePitch="360" w:charSpace="0"/>
        </w:sectPr>
      </w:pPr>
    </w:p>
    <w:p>
      <w:pPr>
        <w:pStyle w:val="6"/>
        <w:widowControl w:val="0"/>
        <w:numPr>
          <w:ilvl w:val="0"/>
          <w:numId w:val="20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Times New Roman"/>
          <w:sz w:val="24"/>
          <w:szCs w:val="28"/>
          <w:highlight w:val="magenta"/>
        </w:rPr>
      </w:pPr>
      <w:r>
        <w:rPr>
          <w:rFonts w:ascii="Calibri" w:hAnsi="Calibri" w:cs="Times New Roman"/>
          <w:sz w:val="24"/>
          <w:szCs w:val="28"/>
          <w:highlight w:val="magenta"/>
        </w:rPr>
        <w:t>RCIU</w:t>
      </w:r>
    </w:p>
    <w:p>
      <w:pPr>
        <w:pStyle w:val="6"/>
        <w:widowControl w:val="0"/>
        <w:numPr>
          <w:ilvl w:val="0"/>
          <w:numId w:val="20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Times New Roman"/>
          <w:sz w:val="24"/>
          <w:szCs w:val="28"/>
        </w:rPr>
      </w:pPr>
      <w:r>
        <w:rPr>
          <w:rFonts w:ascii="Calibri" w:hAnsi="Calibri" w:eastAsia="Times New Roman" w:cs="Times New Roman"/>
          <w:sz w:val="24"/>
          <w:szCs w:val="28"/>
          <w:highlight w:val="magenta"/>
          <w:lang w:eastAsia="fr-FR"/>
        </w:rPr>
        <w:t>Oligoamnios</w:t>
      </w:r>
    </w:p>
    <w:p>
      <w:pPr>
        <w:pStyle w:val="6"/>
        <w:widowControl w:val="0"/>
        <w:numPr>
          <w:ilvl w:val="0"/>
          <w:numId w:val="20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Times New Roman"/>
          <w:sz w:val="24"/>
          <w:szCs w:val="28"/>
        </w:rPr>
      </w:pPr>
      <w:r>
        <w:rPr>
          <w:rFonts w:ascii="Calibri" w:hAnsi="Calibri" w:cs="Times New Roman"/>
          <w:sz w:val="24"/>
          <w:szCs w:val="28"/>
        </w:rPr>
        <w:t>Macrosomie</w:t>
      </w:r>
    </w:p>
    <w:p>
      <w:pPr>
        <w:pStyle w:val="6"/>
        <w:widowControl w:val="0"/>
        <w:numPr>
          <w:ilvl w:val="0"/>
          <w:numId w:val="20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76" w:lineRule="auto"/>
        <w:jc w:val="both"/>
        <w:rPr>
          <w:rFonts w:ascii="Calibri" w:hAnsi="Calibri" w:cs="Times New Roman"/>
          <w:sz w:val="24"/>
          <w:szCs w:val="28"/>
        </w:rPr>
      </w:pPr>
      <w:r>
        <w:rPr>
          <w:rFonts w:ascii="Calibri" w:hAnsi="Calibri" w:cs="Times New Roman"/>
          <w:sz w:val="24"/>
          <w:szCs w:val="28"/>
        </w:rPr>
        <w:t>Grossesse gémellaire</w:t>
      </w:r>
    </w:p>
    <w:p>
      <w:pPr>
        <w:pStyle w:val="6"/>
        <w:numPr>
          <w:ilvl w:val="0"/>
          <w:numId w:val="20"/>
        </w:numPr>
        <w:tabs>
          <w:tab w:val="left" w:pos="284"/>
          <w:tab w:val="left" w:pos="851"/>
          <w:tab w:val="center" w:pos="4536"/>
        </w:tabs>
        <w:spacing w:after="0" w:line="276" w:lineRule="auto"/>
        <w:rPr>
          <w:rFonts w:ascii="Calibri" w:hAnsi="Calibri" w:cs="Times New Roman"/>
          <w:sz w:val="24"/>
          <w:szCs w:val="28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2"/>
          <w:docGrid w:linePitch="360" w:charSpace="0"/>
        </w:sectPr>
      </w:pPr>
      <w:r>
        <w:rPr>
          <w:rFonts w:ascii="Calibri" w:hAnsi="Calibri" w:cs="Times New Roman"/>
          <w:sz w:val="24"/>
          <w:szCs w:val="28"/>
        </w:rPr>
        <w:t>Fibrome et grossesse</w:t>
      </w:r>
    </w:p>
    <w:p>
      <w:pPr>
        <w:pStyle w:val="6"/>
        <w:numPr>
          <w:ilvl w:val="0"/>
          <w:numId w:val="3"/>
        </w:numPr>
        <w:tabs>
          <w:tab w:val="left" w:pos="567"/>
          <w:tab w:val="left" w:pos="851"/>
          <w:tab w:val="center" w:pos="4536"/>
        </w:tabs>
        <w:spacing w:after="0" w:line="276" w:lineRule="auto"/>
        <w:ind w:left="709" w:hanging="709"/>
        <w:rPr>
          <w:rFonts w:ascii="Calibri" w:hAnsi="Calibri" w:cs="Times New Roman"/>
          <w:b/>
          <w:sz w:val="24"/>
          <w:szCs w:val="28"/>
        </w:rPr>
      </w:pPr>
      <w:r>
        <w:rPr>
          <w:rFonts w:ascii="Calibri" w:hAnsi="Calibri" w:cs="Times New Roman"/>
          <w:b/>
          <w:sz w:val="24"/>
          <w:szCs w:val="28"/>
        </w:rPr>
        <w:t>Cocher la ou les facteur(s) favorisant(s)  crevasses du mamelon.</w:t>
      </w:r>
    </w:p>
    <w:p>
      <w:pPr>
        <w:pStyle w:val="6"/>
        <w:numPr>
          <w:ilvl w:val="0"/>
          <w:numId w:val="21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8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1"/>
          <w:docGrid w:linePitch="360" w:charSpace="0"/>
        </w:sectPr>
      </w:pPr>
    </w:p>
    <w:p>
      <w:pPr>
        <w:pStyle w:val="6"/>
        <w:numPr>
          <w:ilvl w:val="0"/>
          <w:numId w:val="21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8"/>
        </w:rPr>
      </w:pPr>
      <w:r>
        <w:rPr>
          <w:rFonts w:ascii="Calibri" w:hAnsi="Calibri" w:cs="Times New Roman"/>
          <w:sz w:val="24"/>
          <w:szCs w:val="28"/>
        </w:rPr>
        <w:t>Travail difficile</w:t>
      </w:r>
    </w:p>
    <w:p>
      <w:pPr>
        <w:pStyle w:val="6"/>
        <w:numPr>
          <w:ilvl w:val="0"/>
          <w:numId w:val="21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8"/>
        </w:rPr>
      </w:pPr>
      <w:r>
        <w:rPr>
          <w:rFonts w:ascii="Calibri" w:hAnsi="Calibri" w:cs="Times New Roman"/>
          <w:sz w:val="24"/>
          <w:szCs w:val="28"/>
        </w:rPr>
        <w:t xml:space="preserve">Multiparité                      </w:t>
      </w:r>
    </w:p>
    <w:p>
      <w:pPr>
        <w:pStyle w:val="6"/>
        <w:numPr>
          <w:ilvl w:val="0"/>
          <w:numId w:val="21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8"/>
          <w:highlight w:val="magenta"/>
        </w:rPr>
      </w:pPr>
      <w:r>
        <w:rPr>
          <w:rFonts w:ascii="Calibri" w:hAnsi="Calibri" w:cs="Times New Roman"/>
          <w:sz w:val="24"/>
          <w:szCs w:val="28"/>
          <w:highlight w:val="magenta"/>
        </w:rPr>
        <w:t>Fragilité spéciale de la peau</w:t>
      </w:r>
    </w:p>
    <w:p>
      <w:pPr>
        <w:pStyle w:val="6"/>
        <w:numPr>
          <w:ilvl w:val="0"/>
          <w:numId w:val="21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8"/>
          <w:highlight w:val="magenta"/>
        </w:rPr>
      </w:pPr>
      <w:r>
        <w:rPr>
          <w:rFonts w:ascii="Calibri" w:hAnsi="Calibri" w:cs="Times New Roman"/>
          <w:sz w:val="24"/>
          <w:szCs w:val="28"/>
          <w:highlight w:val="magenta"/>
        </w:rPr>
        <w:t>Anomalies du mamelon</w:t>
      </w:r>
    </w:p>
    <w:p>
      <w:pPr>
        <w:pStyle w:val="6"/>
        <w:numPr>
          <w:ilvl w:val="0"/>
          <w:numId w:val="21"/>
        </w:numPr>
        <w:tabs>
          <w:tab w:val="left" w:pos="284"/>
          <w:tab w:val="left" w:pos="851"/>
        </w:tabs>
        <w:spacing w:after="0" w:line="276" w:lineRule="auto"/>
        <w:jc w:val="both"/>
        <w:rPr>
          <w:rFonts w:ascii="Calibri" w:hAnsi="Calibri" w:cs="Times New Roman"/>
          <w:sz w:val="24"/>
          <w:szCs w:val="28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2"/>
          <w:docGrid w:linePitch="360" w:charSpace="0"/>
        </w:sectPr>
      </w:pPr>
      <w:r>
        <w:rPr>
          <w:rFonts w:ascii="Calibri" w:hAnsi="Calibri" w:cs="Times New Roman"/>
          <w:sz w:val="24"/>
          <w:szCs w:val="28"/>
          <w:highlight w:val="magenta"/>
        </w:rPr>
        <w:t>Défaut de propreté du sein</w:t>
      </w:r>
    </w:p>
    <w:p>
      <w:pPr>
        <w:pStyle w:val="6"/>
        <w:numPr>
          <w:ilvl w:val="0"/>
          <w:numId w:val="3"/>
        </w:numPr>
        <w:tabs>
          <w:tab w:val="left" w:pos="567"/>
          <w:tab w:val="left" w:pos="851"/>
        </w:tabs>
        <w:spacing w:after="0" w:line="276" w:lineRule="auto"/>
        <w:ind w:left="709" w:hanging="709"/>
        <w:rPr>
          <w:rFonts w:ascii="Calibri" w:hAnsi="Calibri" w:cs="Times New Roman"/>
          <w:bCs/>
          <w:sz w:val="24"/>
          <w:szCs w:val="24"/>
        </w:rPr>
      </w:pPr>
      <w:r>
        <w:rPr>
          <w:rFonts w:ascii="Calibri" w:hAnsi="Calibri" w:cs="Times New Roman"/>
          <w:b/>
          <w:bCs/>
          <w:sz w:val="24"/>
          <w:szCs w:val="24"/>
        </w:rPr>
        <w:t>Concernant l’accouchement</w:t>
      </w:r>
      <w:r>
        <w:rPr>
          <w:rFonts w:ascii="Calibri" w:hAnsi="Calibri" w:cs="Times New Roman"/>
          <w:bCs/>
          <w:sz w:val="24"/>
          <w:szCs w:val="24"/>
        </w:rPr>
        <w:t> :</w:t>
      </w:r>
    </w:p>
    <w:p>
      <w:pPr>
        <w:pStyle w:val="6"/>
        <w:numPr>
          <w:ilvl w:val="0"/>
          <w:numId w:val="22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bCs/>
          <w:sz w:val="24"/>
          <w:szCs w:val="24"/>
          <w:highlight w:val="magenta"/>
        </w:rPr>
      </w:pPr>
      <w:r>
        <w:rPr>
          <w:rFonts w:ascii="Calibri" w:hAnsi="Calibri" w:cs="Times New Roman"/>
          <w:sz w:val="24"/>
          <w:szCs w:val="24"/>
          <w:highlight w:val="magenta"/>
        </w:rPr>
        <w:t xml:space="preserve">Il est </w:t>
      </w:r>
      <w:r>
        <w:rPr>
          <w:rFonts w:ascii="Calibri" w:hAnsi="Calibri" w:cs="Times New Roman"/>
          <w:bCs/>
          <w:sz w:val="24"/>
          <w:szCs w:val="24"/>
          <w:highlight w:val="magenta"/>
        </w:rPr>
        <w:t xml:space="preserve">eutocique quand il s’accomplit suivant un déroulement physiologique normal par les voies naturelles </w:t>
      </w:r>
    </w:p>
    <w:p>
      <w:pPr>
        <w:pStyle w:val="6"/>
        <w:numPr>
          <w:ilvl w:val="0"/>
          <w:numId w:val="22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bCs/>
          <w:sz w:val="24"/>
          <w:szCs w:val="24"/>
        </w:rPr>
      </w:pPr>
      <w:r>
        <w:rPr>
          <w:rFonts w:ascii="Calibri" w:hAnsi="Calibri" w:cs="Times New Roman"/>
          <w:bCs/>
          <w:sz w:val="24"/>
          <w:szCs w:val="24"/>
        </w:rPr>
        <w:t xml:space="preserve">Le travail se définit par une modification isolée du col </w:t>
      </w:r>
    </w:p>
    <w:p>
      <w:pPr>
        <w:pStyle w:val="6"/>
        <w:numPr>
          <w:ilvl w:val="0"/>
          <w:numId w:val="22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bCs/>
          <w:sz w:val="24"/>
          <w:szCs w:val="24"/>
        </w:rPr>
      </w:pPr>
      <w:r>
        <w:rPr>
          <w:rFonts w:ascii="Calibri" w:hAnsi="Calibri" w:cs="Times New Roman"/>
          <w:bCs/>
          <w:sz w:val="24"/>
          <w:szCs w:val="24"/>
        </w:rPr>
        <w:t xml:space="preserve">Le travail d’accouchement est divisé en 2 périodes </w:t>
      </w:r>
    </w:p>
    <w:p>
      <w:pPr>
        <w:pStyle w:val="6"/>
        <w:numPr>
          <w:ilvl w:val="0"/>
          <w:numId w:val="22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eastAsia="Times New Roman" w:cs="Times New Roman"/>
          <w:sz w:val="24"/>
          <w:szCs w:val="24"/>
          <w:lang w:eastAsia="fr-FR"/>
        </w:rPr>
      </w:pPr>
      <w:r>
        <w:rPr>
          <w:rFonts w:ascii="Calibri" w:hAnsi="Calibri" w:eastAsia="Times New Roman" w:cs="Times New Roman"/>
          <w:sz w:val="24"/>
          <w:szCs w:val="24"/>
          <w:highlight w:val="magenta"/>
          <w:lang w:eastAsia="fr-FR"/>
        </w:rPr>
        <w:t>La 1ère période du travail d’accouchement =raccourcissement et dilatation du col jusqu’à 10 cm</w:t>
      </w:r>
    </w:p>
    <w:p>
      <w:pPr>
        <w:pStyle w:val="6"/>
        <w:numPr>
          <w:ilvl w:val="0"/>
          <w:numId w:val="3"/>
        </w:numPr>
        <w:tabs>
          <w:tab w:val="left" w:pos="567"/>
          <w:tab w:val="left" w:pos="851"/>
        </w:tabs>
        <w:spacing w:after="0" w:line="276" w:lineRule="auto"/>
        <w:ind w:left="709" w:hanging="709"/>
        <w:rPr>
          <w:rFonts w:ascii="Calibri" w:hAnsi="Calibri" w:eastAsia="Times New Roman" w:cs="Times New Roman"/>
          <w:b/>
          <w:sz w:val="24"/>
          <w:szCs w:val="24"/>
          <w:lang w:eastAsia="fr-FR"/>
        </w:rPr>
      </w:pPr>
      <w:r>
        <w:rPr>
          <w:rFonts w:ascii="Calibri" w:hAnsi="Calibri" w:eastAsia="Times New Roman" w:cs="Times New Roman"/>
          <w:b/>
          <w:sz w:val="24"/>
          <w:szCs w:val="24"/>
          <w:lang w:eastAsia="fr-FR"/>
        </w:rPr>
        <w:t>La ou les causes de la coagulopathie est (sont) :</w:t>
      </w:r>
    </w:p>
    <w:p>
      <w:pPr>
        <w:pStyle w:val="6"/>
        <w:numPr>
          <w:ilvl w:val="0"/>
          <w:numId w:val="23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eastAsia="Times New Roman" w:cs="Times New Roman"/>
          <w:sz w:val="24"/>
          <w:szCs w:val="24"/>
          <w:lang w:eastAsia="fr-FR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1"/>
          <w:docGrid w:linePitch="360" w:charSpace="0"/>
        </w:sectPr>
      </w:pPr>
    </w:p>
    <w:p>
      <w:pPr>
        <w:pStyle w:val="6"/>
        <w:numPr>
          <w:ilvl w:val="0"/>
          <w:numId w:val="23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eastAsia="Times New Roman" w:cs="Times New Roman"/>
          <w:sz w:val="24"/>
          <w:szCs w:val="24"/>
          <w:highlight w:val="magenta"/>
          <w:lang w:eastAsia="fr-FR"/>
        </w:rPr>
      </w:pPr>
      <w:r>
        <w:rPr>
          <w:rFonts w:ascii="Calibri" w:hAnsi="Calibri" w:eastAsia="Times New Roman" w:cs="Times New Roman"/>
          <w:sz w:val="24"/>
          <w:szCs w:val="24"/>
          <w:highlight w:val="magenta"/>
          <w:lang w:eastAsia="fr-FR"/>
        </w:rPr>
        <w:t>Mort fœtale (rétention plus de 5 s.)</w:t>
      </w:r>
    </w:p>
    <w:p>
      <w:pPr>
        <w:pStyle w:val="6"/>
        <w:numPr>
          <w:ilvl w:val="0"/>
          <w:numId w:val="23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eastAsia="Times New Roman" w:cs="Times New Roman"/>
          <w:sz w:val="24"/>
          <w:szCs w:val="24"/>
          <w:highlight w:val="magenta"/>
          <w:lang w:eastAsia="fr-FR"/>
        </w:rPr>
      </w:pPr>
      <w:r>
        <w:rPr>
          <w:rFonts w:ascii="Calibri" w:hAnsi="Calibri" w:eastAsia="Times New Roman" w:cs="Times New Roman"/>
          <w:sz w:val="24"/>
          <w:szCs w:val="24"/>
          <w:highlight w:val="magenta"/>
          <w:lang w:eastAsia="fr-FR"/>
        </w:rPr>
        <w:t xml:space="preserve">H.R.P (prise en charge tardive) </w:t>
      </w:r>
    </w:p>
    <w:p>
      <w:pPr>
        <w:pStyle w:val="6"/>
        <w:numPr>
          <w:ilvl w:val="0"/>
          <w:numId w:val="23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eastAsia="Times New Roman" w:cs="Times New Roman"/>
          <w:sz w:val="24"/>
          <w:szCs w:val="24"/>
          <w:lang w:eastAsia="fr-FR"/>
        </w:rPr>
      </w:pPr>
      <w:r>
        <w:rPr>
          <w:rFonts w:ascii="Calibri" w:hAnsi="Calibri" w:eastAsia="Times New Roman" w:cs="Times New Roman"/>
          <w:sz w:val="24"/>
          <w:szCs w:val="24"/>
          <w:lang w:eastAsia="fr-FR"/>
        </w:rPr>
        <w:t>Fibrome utérin</w:t>
      </w:r>
    </w:p>
    <w:p>
      <w:pPr>
        <w:pStyle w:val="6"/>
        <w:numPr>
          <w:ilvl w:val="0"/>
          <w:numId w:val="23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eastAsia="Times New Roman" w:cs="Times New Roman"/>
          <w:sz w:val="24"/>
          <w:szCs w:val="24"/>
          <w:lang w:eastAsia="fr-FR"/>
        </w:rPr>
      </w:pPr>
      <w:r>
        <w:rPr>
          <w:rFonts w:ascii="Calibri" w:hAnsi="Calibri" w:eastAsia="Times New Roman" w:cs="Times New Roman"/>
          <w:sz w:val="24"/>
          <w:szCs w:val="24"/>
          <w:lang w:eastAsia="fr-FR"/>
        </w:rPr>
        <w:t>dystocie dynamique</w:t>
      </w:r>
    </w:p>
    <w:p>
      <w:pPr>
        <w:pStyle w:val="6"/>
        <w:numPr>
          <w:ilvl w:val="0"/>
          <w:numId w:val="23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eastAsia="Times New Roman" w:cs="Times New Roman"/>
          <w:sz w:val="24"/>
          <w:szCs w:val="24"/>
          <w:lang w:eastAsia="fr-FR"/>
        </w:rPr>
      </w:pPr>
      <w:r>
        <w:rPr>
          <w:rFonts w:ascii="Calibri" w:hAnsi="Calibri" w:eastAsia="Times New Roman" w:cs="Times New Roman"/>
          <w:sz w:val="24"/>
          <w:szCs w:val="24"/>
          <w:lang w:eastAsia="fr-FR"/>
        </w:rPr>
        <w:t>Infection urinaire</w:t>
      </w:r>
    </w:p>
    <w:p>
      <w:pPr>
        <w:pStyle w:val="6"/>
        <w:numPr>
          <w:ilvl w:val="0"/>
          <w:numId w:val="3"/>
        </w:numPr>
        <w:tabs>
          <w:tab w:val="left" w:pos="567"/>
          <w:tab w:val="left" w:pos="851"/>
        </w:tabs>
        <w:spacing w:after="0" w:line="276" w:lineRule="auto"/>
        <w:ind w:left="709" w:hanging="709"/>
        <w:rPr>
          <w:rFonts w:ascii="Calibri" w:hAnsi="Calibri" w:cs="Times New Roman"/>
          <w:b/>
          <w:sz w:val="24"/>
          <w:szCs w:val="24"/>
        </w:rPr>
        <w:sectPr>
          <w:type w:val="continuous"/>
          <w:pgSz w:w="11906" w:h="16838"/>
          <w:pgMar w:top="1417" w:right="1133" w:bottom="1417" w:left="1417" w:header="426" w:footer="708" w:gutter="0"/>
          <w:cols w:space="282" w:num="2"/>
          <w:docGrid w:linePitch="360" w:charSpace="0"/>
        </w:sectPr>
      </w:pPr>
    </w:p>
    <w:p>
      <w:pPr>
        <w:pStyle w:val="6"/>
        <w:numPr>
          <w:ilvl w:val="0"/>
          <w:numId w:val="3"/>
        </w:numPr>
        <w:tabs>
          <w:tab w:val="left" w:pos="567"/>
          <w:tab w:val="left" w:pos="851"/>
        </w:tabs>
        <w:spacing w:after="0" w:line="276" w:lineRule="auto"/>
        <w:ind w:left="709" w:hanging="709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Les phlébites puerpérales sont :</w:t>
      </w:r>
    </w:p>
    <w:p>
      <w:pPr>
        <w:pStyle w:val="6"/>
        <w:numPr>
          <w:ilvl w:val="0"/>
          <w:numId w:val="24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  <w:highlight w:val="magenta"/>
        </w:rPr>
      </w:pPr>
      <w:r>
        <w:rPr>
          <w:rFonts w:ascii="Calibri" w:hAnsi="Calibri" w:cs="Times New Roman"/>
          <w:sz w:val="24"/>
          <w:szCs w:val="24"/>
          <w:highlight w:val="magenta"/>
        </w:rPr>
        <w:t xml:space="preserve">Favorisées par la césarienne </w:t>
      </w:r>
    </w:p>
    <w:p>
      <w:pPr>
        <w:pStyle w:val="6"/>
        <w:numPr>
          <w:ilvl w:val="0"/>
          <w:numId w:val="24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  <w:highlight w:val="magenta"/>
        </w:rPr>
      </w:pPr>
      <w:r>
        <w:rPr>
          <w:rFonts w:ascii="Calibri" w:hAnsi="Calibri" w:cs="Times New Roman"/>
          <w:sz w:val="24"/>
          <w:szCs w:val="24"/>
          <w:highlight w:val="magenta"/>
        </w:rPr>
        <w:t xml:space="preserve">Peut se compliquer d’une Embolie pulmonaire </w:t>
      </w:r>
    </w:p>
    <w:p>
      <w:pPr>
        <w:pStyle w:val="6"/>
        <w:numPr>
          <w:ilvl w:val="0"/>
          <w:numId w:val="24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Est fréquent pendant la grossesse que dans le post partum</w:t>
      </w:r>
    </w:p>
    <w:p>
      <w:pPr>
        <w:pStyle w:val="6"/>
        <w:numPr>
          <w:ilvl w:val="0"/>
          <w:numId w:val="24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Peut être traitée par la sage-femme</w:t>
      </w:r>
    </w:p>
    <w:p>
      <w:pPr>
        <w:pStyle w:val="6"/>
        <w:numPr>
          <w:ilvl w:val="0"/>
          <w:numId w:val="3"/>
        </w:numPr>
        <w:tabs>
          <w:tab w:val="left" w:pos="567"/>
          <w:tab w:val="left" w:pos="851"/>
        </w:tabs>
        <w:spacing w:after="0" w:line="276" w:lineRule="auto"/>
        <w:ind w:left="709" w:hanging="709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Les complications mammaires dans le postpartum sont :</w:t>
      </w:r>
    </w:p>
    <w:p>
      <w:pPr>
        <w:pStyle w:val="6"/>
        <w:numPr>
          <w:ilvl w:val="0"/>
          <w:numId w:val="25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  <w:highlight w:val="magenta"/>
        </w:rPr>
        <w:t>Lymphangite</w:t>
      </w:r>
    </w:p>
    <w:p>
      <w:pPr>
        <w:pStyle w:val="6"/>
        <w:numPr>
          <w:ilvl w:val="0"/>
          <w:numId w:val="25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Cancer</w:t>
      </w:r>
    </w:p>
    <w:p>
      <w:pPr>
        <w:pStyle w:val="6"/>
        <w:numPr>
          <w:ilvl w:val="0"/>
          <w:numId w:val="25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  <w:highlight w:val="magenta"/>
        </w:rPr>
      </w:pPr>
      <w:r>
        <w:rPr>
          <w:rFonts w:ascii="Calibri" w:hAnsi="Calibri" w:cs="Times New Roman"/>
          <w:sz w:val="24"/>
          <w:szCs w:val="24"/>
          <w:highlight w:val="magenta"/>
        </w:rPr>
        <w:t>Mastite</w:t>
      </w:r>
    </w:p>
    <w:p>
      <w:pPr>
        <w:pStyle w:val="6"/>
        <w:numPr>
          <w:ilvl w:val="0"/>
          <w:numId w:val="25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Lipome</w:t>
      </w:r>
    </w:p>
    <w:p>
      <w:pPr>
        <w:pStyle w:val="6"/>
        <w:numPr>
          <w:ilvl w:val="0"/>
          <w:numId w:val="3"/>
        </w:numPr>
        <w:tabs>
          <w:tab w:val="left" w:pos="567"/>
          <w:tab w:val="left" w:pos="851"/>
        </w:tabs>
        <w:spacing w:after="0" w:line="276" w:lineRule="auto"/>
        <w:ind w:left="709" w:hanging="709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Le déclenchement artificiel du travail par le misoprostol peut être :</w:t>
      </w:r>
    </w:p>
    <w:p>
      <w:pPr>
        <w:pStyle w:val="6"/>
        <w:numPr>
          <w:ilvl w:val="0"/>
          <w:numId w:val="26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Réalisé en périphérie par une sage-femme</w:t>
      </w:r>
    </w:p>
    <w:p>
      <w:pPr>
        <w:pStyle w:val="6"/>
        <w:numPr>
          <w:ilvl w:val="0"/>
          <w:numId w:val="26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Sur un utérus cicatriciel</w:t>
      </w:r>
    </w:p>
    <w:p>
      <w:pPr>
        <w:pStyle w:val="6"/>
        <w:numPr>
          <w:ilvl w:val="0"/>
          <w:numId w:val="26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  <w:highlight w:val="magenta"/>
        </w:rPr>
      </w:pPr>
      <w:r>
        <w:rPr>
          <w:rFonts w:ascii="Calibri" w:hAnsi="Calibri" w:cs="Times New Roman"/>
          <w:sz w:val="24"/>
          <w:szCs w:val="24"/>
          <w:highlight w:val="magenta"/>
        </w:rPr>
        <w:t xml:space="preserve">Uniquement dans une structure disposant d’un bloc opératoire </w:t>
      </w:r>
    </w:p>
    <w:p>
      <w:pPr>
        <w:pStyle w:val="6"/>
        <w:numPr>
          <w:ilvl w:val="0"/>
          <w:numId w:val="26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  <w:highlight w:val="magenta"/>
        </w:rPr>
        <w:t>Sur une présentation céphalique</w:t>
      </w:r>
      <w:r>
        <w:rPr>
          <w:rFonts w:ascii="Calibri" w:hAnsi="Calibri" w:cs="Times New Roman"/>
          <w:sz w:val="24"/>
          <w:szCs w:val="24"/>
        </w:rPr>
        <w:t xml:space="preserve"> </w:t>
      </w:r>
    </w:p>
    <w:p>
      <w:pPr>
        <w:pStyle w:val="6"/>
        <w:numPr>
          <w:ilvl w:val="0"/>
          <w:numId w:val="3"/>
        </w:numPr>
        <w:tabs>
          <w:tab w:val="left" w:pos="567"/>
          <w:tab w:val="left" w:pos="851"/>
        </w:tabs>
        <w:spacing w:after="0" w:line="276" w:lineRule="auto"/>
        <w:ind w:left="709" w:hanging="709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En cas d’accouchement de siège :</w:t>
      </w:r>
    </w:p>
    <w:p>
      <w:pPr>
        <w:pStyle w:val="6"/>
        <w:numPr>
          <w:ilvl w:val="0"/>
          <w:numId w:val="27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  <w:highlight w:val="magenta"/>
        </w:rPr>
      </w:pPr>
      <w:r>
        <w:rPr>
          <w:rFonts w:ascii="Calibri" w:hAnsi="Calibri" w:cs="Times New Roman"/>
          <w:sz w:val="24"/>
          <w:szCs w:val="24"/>
          <w:highlight w:val="magenta"/>
        </w:rPr>
        <w:t xml:space="preserve">Ne pas rompre la poche des eaux avant la dilatation complète du col utérin </w:t>
      </w:r>
    </w:p>
    <w:p>
      <w:pPr>
        <w:pStyle w:val="6"/>
        <w:numPr>
          <w:ilvl w:val="0"/>
          <w:numId w:val="27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  <w:highlight w:val="magenta"/>
        </w:rPr>
      </w:pPr>
      <w:r>
        <w:rPr>
          <w:rFonts w:ascii="Calibri" w:hAnsi="Calibri" w:cs="Times New Roman"/>
          <w:sz w:val="24"/>
          <w:szCs w:val="24"/>
          <w:highlight w:val="magenta"/>
        </w:rPr>
        <w:t xml:space="preserve">L’expulsion du siège doit se faire sous perfusion de 5 ui de syntocinon </w:t>
      </w:r>
    </w:p>
    <w:p>
      <w:pPr>
        <w:pStyle w:val="6"/>
        <w:numPr>
          <w:ilvl w:val="0"/>
          <w:numId w:val="27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  <w:highlight w:val="magenta"/>
        </w:rPr>
      </w:pPr>
      <w:r>
        <w:rPr>
          <w:rFonts w:ascii="Calibri" w:hAnsi="Calibri" w:cs="Times New Roman"/>
          <w:sz w:val="24"/>
          <w:szCs w:val="24"/>
          <w:highlight w:val="magenta"/>
        </w:rPr>
        <w:t>La manœuvre de Bracht est obligatoire lors de l’accouchement du siège</w:t>
      </w:r>
    </w:p>
    <w:p>
      <w:pPr>
        <w:pStyle w:val="6"/>
        <w:numPr>
          <w:ilvl w:val="0"/>
          <w:numId w:val="27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La grande extraction est autorisée en cas d’accouchement mono-fœtal</w:t>
      </w:r>
    </w:p>
    <w:p>
      <w:pPr>
        <w:pStyle w:val="6"/>
        <w:numPr>
          <w:ilvl w:val="0"/>
          <w:numId w:val="3"/>
        </w:numPr>
        <w:tabs>
          <w:tab w:val="left" w:pos="567"/>
          <w:tab w:val="left" w:pos="851"/>
        </w:tabs>
        <w:spacing w:after="0" w:line="276" w:lineRule="auto"/>
        <w:ind w:left="709" w:hanging="709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Au cours de l’accouchement en cas de VIH :</w:t>
      </w:r>
    </w:p>
    <w:p>
      <w:pPr>
        <w:pStyle w:val="6"/>
        <w:numPr>
          <w:ilvl w:val="0"/>
          <w:numId w:val="28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La rupture artificielle des membranes dois être précoce</w:t>
      </w:r>
    </w:p>
    <w:p>
      <w:pPr>
        <w:pStyle w:val="6"/>
        <w:numPr>
          <w:ilvl w:val="0"/>
          <w:numId w:val="28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L’indication de l’épisiotomie doit être large</w:t>
      </w:r>
    </w:p>
    <w:p>
      <w:pPr>
        <w:pStyle w:val="6"/>
        <w:numPr>
          <w:ilvl w:val="0"/>
          <w:numId w:val="28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  <w:highlight w:val="magenta"/>
        </w:rPr>
      </w:pPr>
      <w:r>
        <w:rPr>
          <w:rFonts w:ascii="Calibri" w:hAnsi="Calibri" w:cs="Times New Roman"/>
          <w:sz w:val="24"/>
          <w:szCs w:val="24"/>
          <w:highlight w:val="magenta"/>
        </w:rPr>
        <w:t xml:space="preserve">Eviter les manœuvres obstétricales (versions). </w:t>
      </w:r>
    </w:p>
    <w:p>
      <w:pPr>
        <w:pStyle w:val="6"/>
        <w:numPr>
          <w:ilvl w:val="0"/>
          <w:numId w:val="28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  <w:highlight w:val="magenta"/>
        </w:rPr>
      </w:pPr>
      <w:r>
        <w:rPr>
          <w:rFonts w:ascii="Calibri" w:hAnsi="Calibri" w:cs="Times New Roman"/>
          <w:sz w:val="24"/>
          <w:szCs w:val="24"/>
          <w:highlight w:val="magenta"/>
        </w:rPr>
        <w:t xml:space="preserve">Eviter les manœuvres instrumentales </w:t>
      </w:r>
    </w:p>
    <w:p>
      <w:pPr>
        <w:pStyle w:val="6"/>
        <w:numPr>
          <w:ilvl w:val="0"/>
          <w:numId w:val="3"/>
        </w:numPr>
        <w:tabs>
          <w:tab w:val="left" w:pos="567"/>
          <w:tab w:val="left" w:pos="851"/>
        </w:tabs>
        <w:spacing w:after="0" w:line="276" w:lineRule="auto"/>
        <w:ind w:left="709" w:hanging="709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L’ulcération génitale peut être due à :</w:t>
      </w:r>
    </w:p>
    <w:p>
      <w:pPr>
        <w:pStyle w:val="6"/>
        <w:numPr>
          <w:ilvl w:val="0"/>
          <w:numId w:val="29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1"/>
          <w:docGrid w:linePitch="360" w:charSpace="0"/>
        </w:sectPr>
      </w:pPr>
    </w:p>
    <w:p>
      <w:pPr>
        <w:pStyle w:val="6"/>
        <w:numPr>
          <w:ilvl w:val="0"/>
          <w:numId w:val="29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  <w:highlight w:val="magenta"/>
        </w:rPr>
      </w:pPr>
      <w:r>
        <w:rPr>
          <w:rFonts w:ascii="Calibri" w:hAnsi="Calibri" w:cs="Times New Roman"/>
          <w:sz w:val="24"/>
          <w:szCs w:val="24"/>
          <w:highlight w:val="magenta"/>
        </w:rPr>
        <w:t>une Syphilis</w:t>
      </w:r>
    </w:p>
    <w:p>
      <w:pPr>
        <w:pStyle w:val="6"/>
        <w:numPr>
          <w:ilvl w:val="0"/>
          <w:numId w:val="29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  <w:highlight w:val="magenta"/>
        </w:rPr>
      </w:pPr>
      <w:r>
        <w:rPr>
          <w:rFonts w:ascii="Calibri" w:hAnsi="Calibri" w:cs="Times New Roman"/>
          <w:sz w:val="24"/>
          <w:szCs w:val="24"/>
          <w:highlight w:val="magenta"/>
        </w:rPr>
        <w:t>un Chancre mou</w:t>
      </w:r>
    </w:p>
    <w:p>
      <w:pPr>
        <w:pStyle w:val="6"/>
        <w:numPr>
          <w:ilvl w:val="0"/>
          <w:numId w:val="29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une Tuberculose. </w:t>
      </w:r>
    </w:p>
    <w:p>
      <w:pPr>
        <w:pStyle w:val="6"/>
        <w:numPr>
          <w:ilvl w:val="0"/>
          <w:numId w:val="29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  <w:highlight w:val="magenta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2"/>
          <w:docGrid w:linePitch="360" w:charSpace="0"/>
        </w:sectPr>
      </w:pPr>
      <w:r>
        <w:rPr>
          <w:rFonts w:ascii="Calibri" w:hAnsi="Calibri" w:cs="Times New Roman"/>
          <w:sz w:val="24"/>
          <w:szCs w:val="24"/>
          <w:highlight w:val="magenta"/>
        </w:rPr>
        <w:t xml:space="preserve">un Herpès </w:t>
      </w:r>
    </w:p>
    <w:p>
      <w:pPr>
        <w:pStyle w:val="6"/>
        <w:numPr>
          <w:ilvl w:val="0"/>
          <w:numId w:val="3"/>
        </w:numPr>
        <w:tabs>
          <w:tab w:val="left" w:pos="567"/>
          <w:tab w:val="left" w:pos="851"/>
        </w:tabs>
        <w:spacing w:after="0" w:line="276" w:lineRule="auto"/>
        <w:ind w:left="709" w:hanging="709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Lors de l’ulcération génitale, l’Adénopathie est</w:t>
      </w:r>
    </w:p>
    <w:p>
      <w:pPr>
        <w:pStyle w:val="6"/>
        <w:numPr>
          <w:ilvl w:val="0"/>
          <w:numId w:val="30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1"/>
          <w:docGrid w:linePitch="360" w:charSpace="0"/>
        </w:sectPr>
      </w:pPr>
    </w:p>
    <w:p>
      <w:pPr>
        <w:pStyle w:val="6"/>
        <w:numPr>
          <w:ilvl w:val="0"/>
          <w:numId w:val="30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toujours présente</w:t>
      </w:r>
    </w:p>
    <w:p>
      <w:pPr>
        <w:pStyle w:val="6"/>
        <w:numPr>
          <w:ilvl w:val="0"/>
          <w:numId w:val="30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  <w:highlight w:val="magenta"/>
        </w:rPr>
      </w:pPr>
      <w:r>
        <w:rPr>
          <w:rFonts w:ascii="Calibri" w:hAnsi="Calibri" w:cs="Times New Roman"/>
          <w:sz w:val="24"/>
          <w:szCs w:val="24"/>
          <w:highlight w:val="magenta"/>
        </w:rPr>
        <w:t>souvent présente</w:t>
      </w:r>
    </w:p>
    <w:p>
      <w:pPr>
        <w:pStyle w:val="6"/>
        <w:numPr>
          <w:ilvl w:val="0"/>
          <w:numId w:val="30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multiple </w:t>
      </w:r>
      <w:bookmarkStart w:id="0" w:name="_GoBack"/>
      <w:bookmarkEnd w:id="0"/>
    </w:p>
    <w:p>
      <w:pPr>
        <w:pStyle w:val="6"/>
        <w:numPr>
          <w:ilvl w:val="0"/>
          <w:numId w:val="30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absente</w:t>
      </w:r>
    </w:p>
    <w:p>
      <w:pPr>
        <w:pStyle w:val="6"/>
        <w:numPr>
          <w:ilvl w:val="0"/>
          <w:numId w:val="3"/>
        </w:numPr>
        <w:tabs>
          <w:tab w:val="left" w:pos="567"/>
          <w:tab w:val="left" w:pos="851"/>
        </w:tabs>
        <w:spacing w:after="0" w:line="276" w:lineRule="auto"/>
        <w:ind w:left="709" w:hanging="709"/>
        <w:rPr>
          <w:rFonts w:ascii="Calibri" w:hAnsi="Calibri" w:cs="Times New Roman"/>
          <w:b/>
          <w:sz w:val="24"/>
          <w:szCs w:val="24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2"/>
          <w:docGrid w:linePitch="360" w:charSpace="0"/>
        </w:sectPr>
      </w:pPr>
    </w:p>
    <w:p>
      <w:pPr>
        <w:pStyle w:val="6"/>
        <w:numPr>
          <w:ilvl w:val="0"/>
          <w:numId w:val="3"/>
        </w:numPr>
        <w:tabs>
          <w:tab w:val="left" w:pos="567"/>
          <w:tab w:val="left" w:pos="851"/>
        </w:tabs>
        <w:spacing w:after="0" w:line="276" w:lineRule="auto"/>
        <w:ind w:left="709" w:hanging="709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La Syphilis est :</w:t>
      </w:r>
    </w:p>
    <w:p>
      <w:pPr>
        <w:pStyle w:val="6"/>
        <w:numPr>
          <w:ilvl w:val="0"/>
          <w:numId w:val="31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1"/>
          <w:docGrid w:linePitch="360" w:charSpace="0"/>
        </w:sectPr>
      </w:pPr>
    </w:p>
    <w:p>
      <w:pPr>
        <w:pStyle w:val="6"/>
        <w:numPr>
          <w:ilvl w:val="0"/>
          <w:numId w:val="31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  <w:highlight w:val="magenta"/>
        </w:rPr>
      </w:pPr>
      <w:r>
        <w:rPr>
          <w:rFonts w:ascii="Calibri" w:hAnsi="Calibri" w:cs="Times New Roman"/>
          <w:sz w:val="24"/>
          <w:szCs w:val="24"/>
          <w:highlight w:val="magenta"/>
        </w:rPr>
        <w:t>une ulcération génitale</w:t>
      </w:r>
    </w:p>
    <w:p>
      <w:pPr>
        <w:pStyle w:val="6"/>
        <w:numPr>
          <w:ilvl w:val="0"/>
          <w:numId w:val="31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  <w:highlight w:val="magenta"/>
        </w:rPr>
        <w:t>une IST</w:t>
      </w:r>
    </w:p>
    <w:p>
      <w:pPr>
        <w:pStyle w:val="6"/>
        <w:numPr>
          <w:ilvl w:val="0"/>
          <w:numId w:val="31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une fièvre éruptive</w:t>
      </w:r>
    </w:p>
    <w:p>
      <w:pPr>
        <w:pStyle w:val="6"/>
        <w:numPr>
          <w:ilvl w:val="0"/>
          <w:numId w:val="31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une affection Immunisante</w:t>
      </w:r>
    </w:p>
    <w:p>
      <w:pPr>
        <w:pStyle w:val="6"/>
        <w:numPr>
          <w:ilvl w:val="0"/>
          <w:numId w:val="3"/>
        </w:numPr>
        <w:tabs>
          <w:tab w:val="left" w:pos="567"/>
          <w:tab w:val="left" w:pos="851"/>
        </w:tabs>
        <w:spacing w:after="0" w:line="276" w:lineRule="auto"/>
        <w:ind w:left="709" w:hanging="709"/>
        <w:rPr>
          <w:rFonts w:ascii="Calibri" w:hAnsi="Calibri" w:cs="Times New Roman"/>
          <w:b/>
          <w:sz w:val="24"/>
          <w:szCs w:val="24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2"/>
          <w:docGrid w:linePitch="360" w:charSpace="0"/>
        </w:sectPr>
      </w:pPr>
    </w:p>
    <w:p>
      <w:pPr>
        <w:pStyle w:val="6"/>
        <w:numPr>
          <w:ilvl w:val="0"/>
          <w:numId w:val="3"/>
        </w:numPr>
        <w:tabs>
          <w:tab w:val="left" w:pos="567"/>
          <w:tab w:val="left" w:pos="851"/>
        </w:tabs>
        <w:spacing w:after="0" w:line="276" w:lineRule="auto"/>
        <w:ind w:left="709" w:hanging="709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Le Prolapsus Génital peut être d’origine</w:t>
      </w:r>
    </w:p>
    <w:p>
      <w:pPr>
        <w:pStyle w:val="6"/>
        <w:numPr>
          <w:ilvl w:val="0"/>
          <w:numId w:val="32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1"/>
          <w:docGrid w:linePitch="360" w:charSpace="0"/>
        </w:sectPr>
      </w:pPr>
    </w:p>
    <w:p>
      <w:pPr>
        <w:pStyle w:val="6"/>
        <w:numPr>
          <w:ilvl w:val="0"/>
          <w:numId w:val="32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  <w:highlight w:val="magenta"/>
        </w:rPr>
        <w:t>Congénital</w:t>
      </w:r>
    </w:p>
    <w:p>
      <w:pPr>
        <w:pStyle w:val="6"/>
        <w:numPr>
          <w:ilvl w:val="0"/>
          <w:numId w:val="32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Traumatique</w:t>
      </w:r>
    </w:p>
    <w:p>
      <w:pPr>
        <w:pStyle w:val="6"/>
        <w:numPr>
          <w:ilvl w:val="0"/>
          <w:numId w:val="32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  <w:highlight w:val="magenta"/>
        </w:rPr>
      </w:pPr>
      <w:r>
        <w:rPr>
          <w:rFonts w:ascii="Calibri" w:hAnsi="Calibri" w:cs="Times New Roman"/>
          <w:sz w:val="24"/>
          <w:szCs w:val="24"/>
          <w:highlight w:val="magenta"/>
        </w:rPr>
        <w:t>Obstétricale</w:t>
      </w:r>
    </w:p>
    <w:p>
      <w:pPr>
        <w:pStyle w:val="6"/>
        <w:numPr>
          <w:ilvl w:val="0"/>
          <w:numId w:val="32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Médicamenteuse</w:t>
      </w:r>
    </w:p>
    <w:p>
      <w:pPr>
        <w:pStyle w:val="6"/>
        <w:numPr>
          <w:ilvl w:val="0"/>
          <w:numId w:val="3"/>
        </w:numPr>
        <w:tabs>
          <w:tab w:val="left" w:pos="567"/>
          <w:tab w:val="left" w:pos="851"/>
        </w:tabs>
        <w:spacing w:after="0" w:line="276" w:lineRule="auto"/>
        <w:ind w:left="709" w:hanging="709"/>
        <w:rPr>
          <w:rFonts w:ascii="Calibri" w:hAnsi="Calibri" w:cs="Times New Roman"/>
          <w:b/>
          <w:sz w:val="24"/>
          <w:szCs w:val="24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2"/>
          <w:docGrid w:linePitch="360" w:charSpace="0"/>
        </w:sectPr>
      </w:pPr>
    </w:p>
    <w:p>
      <w:pPr>
        <w:pStyle w:val="6"/>
        <w:numPr>
          <w:ilvl w:val="0"/>
          <w:numId w:val="3"/>
        </w:numPr>
        <w:tabs>
          <w:tab w:val="left" w:pos="567"/>
          <w:tab w:val="left" w:pos="851"/>
        </w:tabs>
        <w:spacing w:after="0" w:line="276" w:lineRule="auto"/>
        <w:ind w:left="709" w:hanging="709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Lors du Prolapsus Génital le ou les organes ptosés est ou sont</w:t>
      </w:r>
    </w:p>
    <w:p>
      <w:pPr>
        <w:pStyle w:val="6"/>
        <w:numPr>
          <w:ilvl w:val="0"/>
          <w:numId w:val="33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1"/>
          <w:docGrid w:linePitch="360" w:charSpace="0"/>
        </w:sectPr>
      </w:pPr>
    </w:p>
    <w:p>
      <w:pPr>
        <w:pStyle w:val="6"/>
        <w:numPr>
          <w:ilvl w:val="0"/>
          <w:numId w:val="33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  <w:highlight w:val="magenta"/>
        </w:rPr>
      </w:pPr>
      <w:r>
        <w:rPr>
          <w:rFonts w:ascii="Calibri" w:hAnsi="Calibri" w:cs="Times New Roman"/>
          <w:sz w:val="24"/>
          <w:szCs w:val="24"/>
          <w:highlight w:val="magenta"/>
        </w:rPr>
        <w:t>l’utérus</w:t>
      </w:r>
    </w:p>
    <w:p>
      <w:pPr>
        <w:pStyle w:val="6"/>
        <w:numPr>
          <w:ilvl w:val="0"/>
          <w:numId w:val="33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  <w:highlight w:val="magenta"/>
        </w:rPr>
      </w:pPr>
      <w:r>
        <w:rPr>
          <w:rFonts w:ascii="Calibri" w:hAnsi="Calibri" w:cs="Times New Roman"/>
          <w:sz w:val="24"/>
          <w:szCs w:val="24"/>
          <w:highlight w:val="magenta"/>
        </w:rPr>
        <w:t>la vessie</w:t>
      </w:r>
    </w:p>
    <w:p>
      <w:pPr>
        <w:pStyle w:val="6"/>
        <w:numPr>
          <w:ilvl w:val="0"/>
          <w:numId w:val="33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  <w:highlight w:val="magenta"/>
        </w:rPr>
        <w:t>le vagin</w:t>
      </w:r>
    </w:p>
    <w:p>
      <w:pPr>
        <w:pStyle w:val="6"/>
        <w:numPr>
          <w:ilvl w:val="0"/>
          <w:numId w:val="33"/>
        </w:numPr>
        <w:tabs>
          <w:tab w:val="left" w:pos="284"/>
          <w:tab w:val="left" w:pos="851"/>
        </w:tabs>
        <w:spacing w:after="0" w:line="276" w:lineRule="auto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la vulve</w:t>
      </w:r>
    </w:p>
    <w:p>
      <w:pPr>
        <w:tabs>
          <w:tab w:val="left" w:pos="851"/>
        </w:tabs>
        <w:spacing w:after="0" w:line="240" w:lineRule="auto"/>
        <w:jc w:val="both"/>
        <w:rPr>
          <w:rFonts w:ascii="Calibri" w:hAnsi="Calibri" w:cs="Times New Roman"/>
          <w:sz w:val="24"/>
          <w:szCs w:val="24"/>
        </w:rPr>
        <w:sectPr>
          <w:type w:val="continuous"/>
          <w:pgSz w:w="11906" w:h="16838"/>
          <w:pgMar w:top="1417" w:right="1133" w:bottom="1417" w:left="1417" w:header="426" w:footer="708" w:gutter="0"/>
          <w:cols w:space="708" w:num="2"/>
          <w:docGrid w:linePitch="360" w:charSpace="0"/>
        </w:sectPr>
      </w:pPr>
    </w:p>
    <w:p>
      <w:pPr>
        <w:tabs>
          <w:tab w:val="left" w:pos="851"/>
        </w:tabs>
        <w:spacing w:after="0" w:line="240" w:lineRule="auto"/>
        <w:jc w:val="both"/>
        <w:rPr>
          <w:rFonts w:ascii="Calibri" w:hAnsi="Calibri" w:cs="Times New Roman"/>
          <w:sz w:val="24"/>
          <w:szCs w:val="24"/>
        </w:rPr>
      </w:pPr>
    </w:p>
    <w:sectPr>
      <w:type w:val="continuous"/>
      <w:pgSz w:w="11906" w:h="16838"/>
      <w:pgMar w:top="1417" w:right="1133" w:bottom="1417" w:left="1417" w:header="426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Helvetica Neue">
    <w:altName w:val="Times New Roman"/>
    <w:panose1 w:val="00000000000000000000"/>
    <w:charset w:val="00"/>
    <w:family w:val="auto"/>
    <w:pitch w:val="default"/>
    <w:sig w:usb0="00000000" w:usb1="00000000" w:usb2="00000010" w:usb3="00000000" w:csb0="0000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5"/>
      <w:tblW w:w="5000" w:type="pct"/>
      <w:jc w:val="center"/>
      <w:tblBorders>
        <w:top w:val="single" w:color="auto" w:sz="6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ayout w:type="autofit"/>
      <w:tblCellMar>
        <w:top w:w="144" w:type="dxa"/>
        <w:left w:w="115" w:type="dxa"/>
        <w:bottom w:w="144" w:type="dxa"/>
        <w:right w:w="115" w:type="dxa"/>
      </w:tblCellMar>
    </w:tblPr>
    <w:tblGrid>
      <w:gridCol w:w="4799"/>
      <w:gridCol w:w="4787"/>
    </w:tblGrid>
    <w:tr>
      <w:tblPrEx>
        <w:tblBorders>
          <w:top w:val="single" w:color="auto" w:sz="6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144" w:type="dxa"/>
          <w:left w:w="115" w:type="dxa"/>
          <w:bottom w:w="144" w:type="dxa"/>
          <w:right w:w="115" w:type="dxa"/>
        </w:tblCellMar>
      </w:tblPrEx>
      <w:trPr>
        <w:trHeight w:val="142" w:hRule="exact"/>
        <w:jc w:val="center"/>
      </w:trPr>
      <w:tc>
        <w:tcPr>
          <w:tcW w:w="4686" w:type="dxa"/>
          <w:shd w:val="clear" w:color="auto" w:fill="auto"/>
          <w:tcMar>
            <w:top w:w="0" w:type="dxa"/>
            <w:bottom w:w="0" w:type="dxa"/>
          </w:tcMar>
        </w:tcPr>
        <w:p>
          <w:pPr>
            <w:pStyle w:val="4"/>
            <w:rPr>
              <w:caps/>
              <w:sz w:val="18"/>
            </w:rPr>
          </w:pPr>
          <w:r>
            <w:rPr>
              <w:caps/>
              <w:sz w:val="18"/>
            </w:rPr>
            <w:pict>
              <v:rect id="_x0000_i1026" o:spt="1" style="height:1.5pt;width:0pt;" fillcolor="#A0A0A0" filled="t" stroked="f" coordsize="21600,21600" o:hr="t" o:hrstd="t" o:hralign="center">
                <v:path/>
                <v:fill on="t" focussize="0,0"/>
                <v:stroke on="f"/>
                <v:imagedata o:title=""/>
                <o:lock v:ext="edit"/>
                <w10:wrap type="none"/>
                <w10:anchorlock/>
              </v:rect>
            </w:pict>
          </w:r>
        </w:p>
      </w:tc>
      <w:tc>
        <w:tcPr>
          <w:tcW w:w="4674" w:type="dxa"/>
          <w:shd w:val="clear" w:color="auto" w:fill="auto"/>
          <w:tcMar>
            <w:top w:w="0" w:type="dxa"/>
            <w:bottom w:w="0" w:type="dxa"/>
          </w:tcMar>
        </w:tcPr>
        <w:p>
          <w:pPr>
            <w:pStyle w:val="4"/>
            <w:jc w:val="right"/>
            <w:rPr>
              <w:caps/>
              <w:sz w:val="18"/>
            </w:rPr>
          </w:pPr>
        </w:p>
      </w:tc>
    </w:tr>
    <w:tr>
      <w:tblPrEx>
        <w:tblBorders>
          <w:top w:val="single" w:color="auto" w:sz="6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144" w:type="dxa"/>
          <w:left w:w="115" w:type="dxa"/>
          <w:bottom w:w="144" w:type="dxa"/>
          <w:right w:w="115" w:type="dxa"/>
        </w:tblCellMar>
      </w:tblPrEx>
      <w:trPr>
        <w:jc w:val="center"/>
      </w:trPr>
      <w:sdt>
        <w:sdtPr>
          <w:rPr>
            <w:caps/>
            <w:color w:val="7F7F7F" w:themeColor="background1" w:themeShade="80"/>
            <w:sz w:val="18"/>
            <w:szCs w:val="18"/>
          </w:rPr>
          <w:alias w:val="Auteur"/>
          <w:id w:val="-373081572"/>
          <w:placeholder>
            <w:docPart w:val="FFCD7EC63455447DA4FA634A4193917E"/>
          </w:placeholder>
          <w15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>
          <w:rPr>
            <w:caps/>
            <w:color w:val="7F7F7F" w:themeColor="background1" w:themeShade="80"/>
            <w:sz w:val="18"/>
            <w:szCs w:val="18"/>
          </w:rPr>
        </w:sdtEndPr>
        <w:sdtContent>
          <w:tc>
            <w:tcPr>
              <w:tcW w:w="4686" w:type="dxa"/>
              <w:shd w:val="clear" w:color="auto" w:fill="auto"/>
              <w:vAlign w:val="center"/>
            </w:tcPr>
            <w:p>
              <w:pPr>
                <w:pStyle w:val="3"/>
                <w:rPr>
                  <w:caps/>
                  <w:color w:val="7F7F7F" w:themeColor="background1" w:themeShade="80"/>
                  <w:sz w:val="18"/>
                  <w:szCs w:val="18"/>
                </w:rPr>
              </w:pPr>
              <w:r>
                <w:rPr>
                  <w:caps/>
                  <w:color w:val="7F7F7F" w:themeColor="background1" w:themeShade="80"/>
                  <w:sz w:val="18"/>
                  <w:szCs w:val="18"/>
                </w:rPr>
                <w:t>1er deb 08-10 JUILLET 2021</w:t>
              </w:r>
            </w:p>
          </w:tc>
        </w:sdtContent>
      </w:sdt>
      <w:tc>
        <w:tcPr>
          <w:tcW w:w="4674" w:type="dxa"/>
          <w:shd w:val="clear" w:color="auto" w:fill="auto"/>
          <w:vAlign w:val="center"/>
        </w:tcPr>
        <w:p>
          <w:pPr>
            <w:pStyle w:val="3"/>
            <w:jc w:val="right"/>
            <w:rPr>
              <w:caps/>
              <w:color w:val="7F7F7F" w:themeColor="background1" w:themeShade="80"/>
              <w:sz w:val="18"/>
              <w:szCs w:val="18"/>
            </w:rPr>
          </w:pPr>
          <w:r>
            <w:rPr>
              <w:caps/>
              <w:color w:val="7F7F7F" w:themeColor="background1" w:themeShade="80"/>
              <w:sz w:val="18"/>
              <w:szCs w:val="18"/>
            </w:rPr>
            <w:fldChar w:fldCharType="begin"/>
          </w:r>
          <w:r>
            <w:rPr>
              <w:caps/>
              <w:color w:val="7F7F7F" w:themeColor="background1" w:themeShade="80"/>
              <w:sz w:val="18"/>
              <w:szCs w:val="18"/>
            </w:rPr>
            <w:instrText xml:space="preserve">PAGE   \* MERGEFORMAT</w:instrText>
          </w:r>
          <w:r>
            <w:rPr>
              <w:caps/>
              <w:color w:val="7F7F7F" w:themeColor="background1" w:themeShade="80"/>
              <w:sz w:val="18"/>
              <w:szCs w:val="18"/>
            </w:rPr>
            <w:fldChar w:fldCharType="separate"/>
          </w:r>
          <w:r>
            <w:rPr>
              <w:caps/>
              <w:color w:val="7F7F7F" w:themeColor="background1" w:themeShade="80"/>
              <w:sz w:val="18"/>
              <w:szCs w:val="18"/>
            </w:rPr>
            <w:t>5</w:t>
          </w:r>
          <w:r>
            <w:rPr>
              <w:caps/>
              <w:color w:val="7F7F7F" w:themeColor="background1" w:themeShade="80"/>
              <w:sz w:val="18"/>
              <w:szCs w:val="18"/>
            </w:rPr>
            <w:fldChar w:fldCharType="end"/>
          </w:r>
          <w:r>
            <w:rPr>
              <w:caps/>
              <w:color w:val="7F7F7F" w:themeColor="background1" w:themeShade="80"/>
              <w:sz w:val="18"/>
              <w:szCs w:val="18"/>
            </w:rPr>
            <w:t>/5 A</w:t>
          </w:r>
        </w:p>
      </w:tc>
    </w:tr>
  </w:tbl>
  <w:p>
    <w:pPr>
      <w:pStyle w:val="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left" w:pos="6735"/>
        <w:tab w:val="clear" w:pos="4536"/>
        <w:tab w:val="clear" w:pos="9072"/>
      </w:tabs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 xml:space="preserve">INFAS Antenne de Bouaké                                                  </w:t>
    </w:r>
    <w:r>
      <w:rPr>
        <w:rFonts w:eastAsia="Times New Roman" w:cs="Times New Roman" w:asciiTheme="majorHAnsi" w:hAnsiTheme="majorHAnsi"/>
        <w:sz w:val="20"/>
        <w:szCs w:val="20"/>
      </w:rPr>
      <w:object>
        <v:shape id="_x0000_i1025" o:spt="75" type="#_x0000_t75" style="height:22.5pt;width:24pt;" o:ole="t" filled="f" o:preferrelative="t" stroked="f" coordsize="21600,21600">
          <v:path/>
          <v:fill on="f" focussize="0,0"/>
          <v:stroke on="f" joinstyle="miter"/>
          <v:imagedata r:id="rId2" cropleft="10828f" croptop="20480f" o:title=""/>
          <o:lock v:ext="edit" aspectratio="t"/>
          <w10:wrap type="none"/>
          <w10:anchorlock/>
        </v:shape>
        <o:OLEObject Type="Embed" ProgID="MSPhotoEd.3" ShapeID="_x0000_i1025" DrawAspect="Content" ObjectID="_1468075725" r:id="rId1">
          <o:LockedField>false</o:LockedField>
        </o:OLEObject>
      </w:object>
    </w:r>
    <w:r>
      <w:rPr>
        <w:i/>
        <w:iCs/>
        <w:sz w:val="20"/>
        <w:szCs w:val="20"/>
      </w:rPr>
      <w:t xml:space="preserve">                                      Année académique 2020-2021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1A1B82"/>
    <w:multiLevelType w:val="multilevel"/>
    <w:tmpl w:val="001A1B82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  <w:b w:val="0"/>
      </w:rPr>
    </w:lvl>
    <w:lvl w:ilvl="1" w:tentative="0">
      <w:start w:val="1"/>
      <w:numFmt w:val="upperLetter"/>
      <w:lvlText w:val="%2.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0D34162"/>
    <w:multiLevelType w:val="multilevel"/>
    <w:tmpl w:val="00D34162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  <w:b w:val="0"/>
      </w:rPr>
    </w:lvl>
    <w:lvl w:ilvl="1" w:tentative="0">
      <w:start w:val="1"/>
      <w:numFmt w:val="upperLetter"/>
      <w:lvlText w:val="%2.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E0337D6"/>
    <w:multiLevelType w:val="multilevel"/>
    <w:tmpl w:val="0E0337D6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  <w:b w:val="0"/>
      </w:rPr>
    </w:lvl>
    <w:lvl w:ilvl="1" w:tentative="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3303E34"/>
    <w:multiLevelType w:val="multilevel"/>
    <w:tmpl w:val="13303E34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  <w:b w:val="0"/>
      </w:rPr>
    </w:lvl>
    <w:lvl w:ilvl="1" w:tentative="0">
      <w:start w:val="1"/>
      <w:numFmt w:val="upperLetter"/>
      <w:lvlText w:val="%2.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4682020"/>
    <w:multiLevelType w:val="multilevel"/>
    <w:tmpl w:val="14682020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  <w:b w:val="0"/>
      </w:rPr>
    </w:lvl>
    <w:lvl w:ilvl="1" w:tentative="0">
      <w:start w:val="1"/>
      <w:numFmt w:val="upperLetter"/>
      <w:lvlText w:val="%2.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4FB0DA1"/>
    <w:multiLevelType w:val="multilevel"/>
    <w:tmpl w:val="14FB0DA1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  <w:b w:val="0"/>
      </w:rPr>
    </w:lvl>
    <w:lvl w:ilvl="1" w:tentative="0">
      <w:start w:val="1"/>
      <w:numFmt w:val="upperLetter"/>
      <w:lvlText w:val="%2.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BA143B"/>
    <w:multiLevelType w:val="multilevel"/>
    <w:tmpl w:val="16BA143B"/>
    <w:lvl w:ilvl="0" w:tentative="0">
      <w:start w:val="1"/>
      <w:numFmt w:val="upperLetter"/>
      <w:lvlText w:val="%1."/>
      <w:lvlJc w:val="left"/>
      <w:pPr>
        <w:ind w:left="1001" w:hanging="360"/>
      </w:pPr>
      <w:rPr>
        <w:rFonts w:hint="default"/>
        <w:b w:val="0"/>
      </w:rPr>
    </w:lvl>
    <w:lvl w:ilvl="1" w:tentative="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C495D88"/>
    <w:multiLevelType w:val="multilevel"/>
    <w:tmpl w:val="1C495D88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  <w:b w:val="0"/>
      </w:rPr>
    </w:lvl>
    <w:lvl w:ilvl="1" w:tentative="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3122E2C"/>
    <w:multiLevelType w:val="multilevel"/>
    <w:tmpl w:val="23122E2C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  <w:b w:val="0"/>
      </w:rPr>
    </w:lvl>
    <w:lvl w:ilvl="1" w:tentative="0">
      <w:start w:val="1"/>
      <w:numFmt w:val="upperLetter"/>
      <w:lvlText w:val="%2.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4A20A7B"/>
    <w:multiLevelType w:val="multilevel"/>
    <w:tmpl w:val="24A20A7B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  <w:b w:val="0"/>
      </w:rPr>
    </w:lvl>
    <w:lvl w:ilvl="1" w:tentative="0">
      <w:start w:val="1"/>
      <w:numFmt w:val="upperLetter"/>
      <w:lvlText w:val="%2.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779007E"/>
    <w:multiLevelType w:val="multilevel"/>
    <w:tmpl w:val="2779007E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  <w:b w:val="0"/>
      </w:rPr>
    </w:lvl>
    <w:lvl w:ilvl="1" w:tentative="0">
      <w:start w:val="1"/>
      <w:numFmt w:val="upperLetter"/>
      <w:lvlText w:val="%2.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7A22BAE"/>
    <w:multiLevelType w:val="multilevel"/>
    <w:tmpl w:val="27A22BAE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  <w:b w:val="0"/>
      </w:rPr>
    </w:lvl>
    <w:lvl w:ilvl="1" w:tentative="0">
      <w:start w:val="1"/>
      <w:numFmt w:val="upperLetter"/>
      <w:lvlText w:val="%2.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7A934CC"/>
    <w:multiLevelType w:val="multilevel"/>
    <w:tmpl w:val="27A934CC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  <w:b w:val="0"/>
      </w:rPr>
    </w:lvl>
    <w:lvl w:ilvl="1" w:tentative="0">
      <w:start w:val="1"/>
      <w:numFmt w:val="upperLetter"/>
      <w:lvlText w:val="%2.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A677F71"/>
    <w:multiLevelType w:val="multilevel"/>
    <w:tmpl w:val="2A677F71"/>
    <w:lvl w:ilvl="0" w:tentative="0">
      <w:start w:val="1"/>
      <w:numFmt w:val="upperRoman"/>
      <w:lvlText w:val="%1)"/>
      <w:lvlJc w:val="left"/>
      <w:pPr>
        <w:ind w:left="1080" w:hanging="720"/>
      </w:pPr>
      <w:rPr>
        <w:rFonts w:hint="default"/>
        <w:sz w:val="24"/>
      </w:rPr>
    </w:lvl>
    <w:lvl w:ilvl="1" w:tentative="0">
      <w:start w:val="1"/>
      <w:numFmt w:val="decimal"/>
      <w:lvlText w:val="%2)"/>
      <w:lvlJc w:val="left"/>
      <w:pPr>
        <w:ind w:left="1440" w:hanging="360"/>
      </w:pPr>
      <w:rPr>
        <w:rFonts w:hint="default" w:eastAsiaTheme="minorHAnsi"/>
        <w:b/>
      </w:r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941D8D"/>
    <w:multiLevelType w:val="multilevel"/>
    <w:tmpl w:val="2E941D8D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entative="0">
      <w:start w:val="1"/>
      <w:numFmt w:val="upperLetter"/>
      <w:lvlText w:val="%2.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2F592DFD"/>
    <w:multiLevelType w:val="multilevel"/>
    <w:tmpl w:val="2F592DFD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  <w:b w:val="0"/>
      </w:rPr>
    </w:lvl>
    <w:lvl w:ilvl="1" w:tentative="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028279A"/>
    <w:multiLevelType w:val="multilevel"/>
    <w:tmpl w:val="3028279A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  <w:b w:val="0"/>
      </w:rPr>
    </w:lvl>
    <w:lvl w:ilvl="1" w:tentative="0">
      <w:start w:val="1"/>
      <w:numFmt w:val="upperLetter"/>
      <w:lvlText w:val="%2.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C9E2777"/>
    <w:multiLevelType w:val="multilevel"/>
    <w:tmpl w:val="3C9E2777"/>
    <w:lvl w:ilvl="0" w:tentative="0">
      <w:start w:val="31"/>
      <w:numFmt w:val="decimal"/>
      <w:lvlText w:val="Q%1."/>
      <w:lvlJc w:val="left"/>
      <w:pPr>
        <w:ind w:left="72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036E8A"/>
    <w:multiLevelType w:val="multilevel"/>
    <w:tmpl w:val="3D036E8A"/>
    <w:lvl w:ilvl="0" w:tentative="0">
      <w:start w:val="1"/>
      <w:numFmt w:val="decimal"/>
      <w:lvlText w:val="Q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711F0B"/>
    <w:multiLevelType w:val="multilevel"/>
    <w:tmpl w:val="3F711F0B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  <w:b w:val="0"/>
      </w:rPr>
    </w:lvl>
    <w:lvl w:ilvl="1" w:tentative="0">
      <w:start w:val="1"/>
      <w:numFmt w:val="upperLetter"/>
      <w:lvlText w:val="%2.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FCD6658"/>
    <w:multiLevelType w:val="multilevel"/>
    <w:tmpl w:val="3FCD6658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  <w:b w:val="0"/>
      </w:rPr>
    </w:lvl>
    <w:lvl w:ilvl="1" w:tentative="0">
      <w:start w:val="1"/>
      <w:numFmt w:val="upperLetter"/>
      <w:lvlText w:val="%2.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4187D70"/>
    <w:multiLevelType w:val="multilevel"/>
    <w:tmpl w:val="44187D70"/>
    <w:lvl w:ilvl="0" w:tentative="0">
      <w:start w:val="1"/>
      <w:numFmt w:val="decimal"/>
      <w:lvlText w:val="Q%1."/>
      <w:lvlJc w:val="left"/>
      <w:pPr>
        <w:ind w:left="72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C5687C"/>
    <w:multiLevelType w:val="multilevel"/>
    <w:tmpl w:val="4CC5687C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  <w:b w:val="0"/>
      </w:rPr>
    </w:lvl>
    <w:lvl w:ilvl="1" w:tentative="0">
      <w:start w:val="1"/>
      <w:numFmt w:val="upperLetter"/>
      <w:lvlText w:val="%2.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2F548A7"/>
    <w:multiLevelType w:val="multilevel"/>
    <w:tmpl w:val="52F548A7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  <w:b w:val="0"/>
      </w:rPr>
    </w:lvl>
    <w:lvl w:ilvl="1" w:tentative="0">
      <w:start w:val="1"/>
      <w:numFmt w:val="upperLetter"/>
      <w:lvlText w:val="%2.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3F5132F"/>
    <w:multiLevelType w:val="multilevel"/>
    <w:tmpl w:val="53F5132F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  <w:b w:val="0"/>
      </w:rPr>
    </w:lvl>
    <w:lvl w:ilvl="1" w:tentative="0">
      <w:start w:val="1"/>
      <w:numFmt w:val="upperLetter"/>
      <w:lvlText w:val="%2.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D030A00"/>
    <w:multiLevelType w:val="multilevel"/>
    <w:tmpl w:val="5D030A00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  <w:b w:val="0"/>
      </w:rPr>
    </w:lvl>
    <w:lvl w:ilvl="1" w:tentative="0">
      <w:start w:val="1"/>
      <w:numFmt w:val="upperLetter"/>
      <w:lvlText w:val="%2.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481771E"/>
    <w:multiLevelType w:val="multilevel"/>
    <w:tmpl w:val="6481771E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  <w:b w:val="0"/>
      </w:rPr>
    </w:lvl>
    <w:lvl w:ilvl="1" w:tentative="0">
      <w:start w:val="1"/>
      <w:numFmt w:val="upperLetter"/>
      <w:lvlText w:val="%2.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66297FDD"/>
    <w:multiLevelType w:val="multilevel"/>
    <w:tmpl w:val="66297FDD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  <w:b w:val="0"/>
      </w:rPr>
    </w:lvl>
    <w:lvl w:ilvl="1" w:tentative="0">
      <w:start w:val="1"/>
      <w:numFmt w:val="upperLetter"/>
      <w:lvlText w:val="%2.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6C0A115F"/>
    <w:multiLevelType w:val="multilevel"/>
    <w:tmpl w:val="6C0A115F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  <w:b w:val="0"/>
      </w:rPr>
    </w:lvl>
    <w:lvl w:ilvl="1" w:tentative="0">
      <w:start w:val="1"/>
      <w:numFmt w:val="upperLetter"/>
      <w:lvlText w:val="%2.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DB92C2F"/>
    <w:multiLevelType w:val="multilevel"/>
    <w:tmpl w:val="6DB92C2F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  <w:b w:val="0"/>
      </w:rPr>
    </w:lvl>
    <w:lvl w:ilvl="1" w:tentative="0">
      <w:start w:val="1"/>
      <w:numFmt w:val="upperLetter"/>
      <w:lvlText w:val="%2.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58A7E9E"/>
    <w:multiLevelType w:val="multilevel"/>
    <w:tmpl w:val="758A7E9E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  <w:b w:val="0"/>
      </w:rPr>
    </w:lvl>
    <w:lvl w:ilvl="1" w:tentative="0">
      <w:start w:val="1"/>
      <w:numFmt w:val="upperLetter"/>
      <w:lvlText w:val="%2.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74F551D"/>
    <w:multiLevelType w:val="multilevel"/>
    <w:tmpl w:val="774F551D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  <w:b w:val="0"/>
      </w:rPr>
    </w:lvl>
    <w:lvl w:ilvl="1" w:tentative="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7AE04091"/>
    <w:multiLevelType w:val="multilevel"/>
    <w:tmpl w:val="7AE04091"/>
    <w:lvl w:ilvl="0" w:tentative="0">
      <w:start w:val="1"/>
      <w:numFmt w:val="upperLetter"/>
      <w:lvlText w:val="%1."/>
      <w:lvlJc w:val="left"/>
      <w:pPr>
        <w:ind w:left="1068" w:hanging="360"/>
      </w:pPr>
      <w:rPr>
        <w:rFonts w:hint="default"/>
        <w:b w:val="0"/>
      </w:rPr>
    </w:lvl>
    <w:lvl w:ilvl="1" w:tentative="0">
      <w:start w:val="1"/>
      <w:numFmt w:val="upperLetter"/>
      <w:lvlText w:val="%2."/>
      <w:lvlJc w:val="left"/>
      <w:pPr>
        <w:ind w:left="1788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3"/>
  </w:num>
  <w:num w:numId="2">
    <w:abstractNumId w:val="21"/>
  </w:num>
  <w:num w:numId="3">
    <w:abstractNumId w:val="17"/>
  </w:num>
  <w:num w:numId="4">
    <w:abstractNumId w:val="18"/>
  </w:num>
  <w:num w:numId="5">
    <w:abstractNumId w:val="14"/>
  </w:num>
  <w:num w:numId="6">
    <w:abstractNumId w:val="6"/>
  </w:num>
  <w:num w:numId="7">
    <w:abstractNumId w:val="24"/>
  </w:num>
  <w:num w:numId="8">
    <w:abstractNumId w:val="3"/>
  </w:num>
  <w:num w:numId="9">
    <w:abstractNumId w:val="0"/>
  </w:num>
  <w:num w:numId="10">
    <w:abstractNumId w:val="10"/>
  </w:num>
  <w:num w:numId="11">
    <w:abstractNumId w:val="25"/>
  </w:num>
  <w:num w:numId="12">
    <w:abstractNumId w:val="9"/>
  </w:num>
  <w:num w:numId="13">
    <w:abstractNumId w:val="32"/>
  </w:num>
  <w:num w:numId="14">
    <w:abstractNumId w:val="31"/>
  </w:num>
  <w:num w:numId="15">
    <w:abstractNumId w:val="28"/>
  </w:num>
  <w:num w:numId="16">
    <w:abstractNumId w:val="16"/>
  </w:num>
  <w:num w:numId="17">
    <w:abstractNumId w:val="23"/>
  </w:num>
  <w:num w:numId="18">
    <w:abstractNumId w:val="1"/>
  </w:num>
  <w:num w:numId="19">
    <w:abstractNumId w:val="7"/>
  </w:num>
  <w:num w:numId="20">
    <w:abstractNumId w:val="26"/>
  </w:num>
  <w:num w:numId="21">
    <w:abstractNumId w:val="15"/>
  </w:num>
  <w:num w:numId="22">
    <w:abstractNumId w:val="12"/>
  </w:num>
  <w:num w:numId="23">
    <w:abstractNumId w:val="27"/>
  </w:num>
  <w:num w:numId="24">
    <w:abstractNumId w:val="22"/>
  </w:num>
  <w:num w:numId="25">
    <w:abstractNumId w:val="8"/>
  </w:num>
  <w:num w:numId="26">
    <w:abstractNumId w:val="20"/>
  </w:num>
  <w:num w:numId="27">
    <w:abstractNumId w:val="4"/>
  </w:num>
  <w:num w:numId="28">
    <w:abstractNumId w:val="5"/>
  </w:num>
  <w:num w:numId="29">
    <w:abstractNumId w:val="29"/>
  </w:num>
  <w:num w:numId="30">
    <w:abstractNumId w:val="11"/>
  </w:num>
  <w:num w:numId="31">
    <w:abstractNumId w:val="2"/>
  </w:num>
  <w:num w:numId="32">
    <w:abstractNumId w:val="19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7FC"/>
    <w:rsid w:val="00031BEF"/>
    <w:rsid w:val="00095ECC"/>
    <w:rsid w:val="000E0795"/>
    <w:rsid w:val="000E2F84"/>
    <w:rsid w:val="00131CC6"/>
    <w:rsid w:val="001B4A60"/>
    <w:rsid w:val="00294271"/>
    <w:rsid w:val="002C2054"/>
    <w:rsid w:val="002F44BB"/>
    <w:rsid w:val="00332D56"/>
    <w:rsid w:val="0035319E"/>
    <w:rsid w:val="004121B6"/>
    <w:rsid w:val="004764A4"/>
    <w:rsid w:val="00485EE9"/>
    <w:rsid w:val="0049241F"/>
    <w:rsid w:val="004933E8"/>
    <w:rsid w:val="00510F55"/>
    <w:rsid w:val="00517D3E"/>
    <w:rsid w:val="005231AF"/>
    <w:rsid w:val="00561806"/>
    <w:rsid w:val="00580F09"/>
    <w:rsid w:val="005A55D0"/>
    <w:rsid w:val="00611499"/>
    <w:rsid w:val="00667432"/>
    <w:rsid w:val="00675C01"/>
    <w:rsid w:val="00696F35"/>
    <w:rsid w:val="006A39FB"/>
    <w:rsid w:val="00726F45"/>
    <w:rsid w:val="0075778A"/>
    <w:rsid w:val="0079185E"/>
    <w:rsid w:val="008215C4"/>
    <w:rsid w:val="00830DB7"/>
    <w:rsid w:val="008757DE"/>
    <w:rsid w:val="00875B1F"/>
    <w:rsid w:val="008A482E"/>
    <w:rsid w:val="008D08F9"/>
    <w:rsid w:val="00921BF8"/>
    <w:rsid w:val="009263E7"/>
    <w:rsid w:val="00963DE0"/>
    <w:rsid w:val="009A7A4E"/>
    <w:rsid w:val="009D3865"/>
    <w:rsid w:val="009F5C7E"/>
    <w:rsid w:val="00A22B8B"/>
    <w:rsid w:val="00A50D21"/>
    <w:rsid w:val="00A808DC"/>
    <w:rsid w:val="00AD584A"/>
    <w:rsid w:val="00AF5454"/>
    <w:rsid w:val="00B14B92"/>
    <w:rsid w:val="00B507FC"/>
    <w:rsid w:val="00B65139"/>
    <w:rsid w:val="00B772BA"/>
    <w:rsid w:val="00B82336"/>
    <w:rsid w:val="00BF5E4F"/>
    <w:rsid w:val="00C44E66"/>
    <w:rsid w:val="00C6410B"/>
    <w:rsid w:val="00CA4C97"/>
    <w:rsid w:val="00CC10F0"/>
    <w:rsid w:val="00D00B04"/>
    <w:rsid w:val="00D42EAA"/>
    <w:rsid w:val="00D73F9F"/>
    <w:rsid w:val="00D77D1C"/>
    <w:rsid w:val="00D963CA"/>
    <w:rsid w:val="00DC795A"/>
    <w:rsid w:val="00E018C4"/>
    <w:rsid w:val="00E929E8"/>
    <w:rsid w:val="00EB7F7F"/>
    <w:rsid w:val="00EE20A7"/>
    <w:rsid w:val="00F5656F"/>
    <w:rsid w:val="00F74CDC"/>
    <w:rsid w:val="00F8550E"/>
    <w:rsid w:val="00FA723C"/>
    <w:rsid w:val="00FB5C16"/>
    <w:rsid w:val="19621711"/>
    <w:rsid w:val="24C37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Balloon Text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fr-F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unhideWhenUsed/>
    <w:qFormat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4">
    <w:name w:val="header"/>
    <w:basedOn w:val="1"/>
    <w:link w:val="7"/>
    <w:unhideWhenUsed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En-tête Car"/>
    <w:basedOn w:val="2"/>
    <w:link w:val="4"/>
    <w:uiPriority w:val="99"/>
  </w:style>
  <w:style w:type="character" w:customStyle="1" w:styleId="8">
    <w:name w:val="Pied de page Car"/>
    <w:basedOn w:val="2"/>
    <w:link w:val="3"/>
    <w:qFormat/>
    <w:uiPriority w:val="99"/>
  </w:style>
  <w:style w:type="paragraph" w:customStyle="1" w:styleId="9">
    <w:name w:val="Corps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0" w:line="276" w:lineRule="auto"/>
    </w:pPr>
    <w:rPr>
      <w:rFonts w:ascii="Helvetica Neue" w:hAnsi="Helvetica Neue" w:eastAsia="Arial Unicode MS" w:cs="Arial Unicode MS"/>
      <w:color w:val="000000"/>
      <w:sz w:val="24"/>
      <w:szCs w:val="24"/>
      <w:lang w:val="en-US" w:eastAsia="fr-FR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glossaryDocument" Target="glossary/document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oleObject" Target="embeddings/oleObject1.bin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FFCD7EC63455447DA4FA634A4193917E"/>
        <w:style w:val="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D5C581-A763-4693-B14B-FC647D99D044}"/>
      </w:docPartPr>
      <w:docPartBody>
        <w:p>
          <w:pPr>
            <w:pStyle w:val="5"/>
          </w:pPr>
          <w:r>
            <w:rPr>
              <w:rStyle w:val="4"/>
            </w:rPr>
            <w:t>[Auteur]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137"/>
    <w:rsid w:val="00295EF5"/>
    <w:rsid w:val="003948E3"/>
    <w:rsid w:val="004D6638"/>
    <w:rsid w:val="00562BF4"/>
    <w:rsid w:val="00A2565D"/>
    <w:rsid w:val="00AA2137"/>
    <w:rsid w:val="00AA77D2"/>
    <w:rsid w:val="00C446ED"/>
    <w:rsid w:val="00C92900"/>
    <w:rsid w:val="00DB6094"/>
    <w:rsid w:val="00F60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fr-FR" w:eastAsia="fr-FR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Texte de l’espace réservé"/>
    <w:basedOn w:val="2"/>
    <w:semiHidden/>
    <w:uiPriority w:val="99"/>
    <w:rPr>
      <w:color w:val="808080"/>
    </w:rPr>
  </w:style>
  <w:style w:type="paragraph" w:customStyle="1" w:styleId="5">
    <w:name w:val="FFCD7EC63455447DA4FA634A4193917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fr-FR" w:eastAsia="fr-FR" w:bidi="ar-SA"/>
    </w:rPr>
  </w:style>
</w:style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</Company>
  <Pages>5</Pages>
  <Words>1270</Words>
  <Characters>6985</Characters>
  <Lines>58</Lines>
  <Paragraphs>16</Paragraphs>
  <TotalTime>131</TotalTime>
  <ScaleCrop>false</ScaleCrop>
  <LinksUpToDate>false</LinksUpToDate>
  <CharactersWithSpaces>8239</CharactersWithSpaces>
  <Application>WPS Office_11.2.0.10258_F1E327BC-269C-435d-A152-05C5408002CA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2020-07-26T02:17:00Z</dcterms:created>
  <dc:creator>1er deb 08-10 JUILLET 2021</dc:creator>
  <cp:lastModifiedBy>mamoudtraore70</cp:lastModifiedBy>
  <dcterms:modified xsi:type="dcterms:W3CDTF">2021-09-09T11:06:49Z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1036-11.2.0.10258</vt:lpwstr>
  </property>
  <property fmtid="{D5CDD505-2E9C-101B-9397-08002B2CF9AE}" pid="3" name="ICV">
    <vt:lpwstr>AB80949D64C84B6DB86FCD6C07A9E4C8</vt:lpwstr>
  </property>
</Properties>
</file>