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F5B" w:rsidRPr="00AC4FCA" w:rsidRDefault="00643F5B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  <w:u w:val="single"/>
        </w:rPr>
        <w:t>DOCUMENT 1</w:t>
      </w:r>
      <w:r w:rsidR="007C6722">
        <w:rPr>
          <w:rFonts w:ascii="Tahoma" w:hAnsi="Tahoma" w:cs="Tahoma"/>
          <w:sz w:val="20"/>
          <w:szCs w:val="20"/>
        </w:rPr>
        <w:t> </w:t>
      </w:r>
    </w:p>
    <w:p w:rsidR="00643F5B" w:rsidRPr="00AC4FCA" w:rsidRDefault="00CC59E6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Le </w:t>
      </w:r>
      <w:proofErr w:type="spellStart"/>
      <w:r>
        <w:rPr>
          <w:rFonts w:ascii="Tahoma" w:hAnsi="Tahoma" w:cs="Tahoma"/>
          <w:sz w:val="20"/>
          <w:szCs w:val="20"/>
        </w:rPr>
        <w:t>Bilad</w:t>
      </w:r>
      <w:proofErr w:type="spellEnd"/>
      <w:r>
        <w:rPr>
          <w:rFonts w:ascii="Tahoma" w:hAnsi="Tahoma" w:cs="Tahoma"/>
          <w:sz w:val="20"/>
          <w:szCs w:val="20"/>
        </w:rPr>
        <w:t>-</w:t>
      </w:r>
      <w:r w:rsidR="00643F5B" w:rsidRPr="00AC4FCA">
        <w:rPr>
          <w:rFonts w:ascii="Tahoma" w:hAnsi="Tahoma" w:cs="Tahoma"/>
          <w:sz w:val="20"/>
          <w:szCs w:val="20"/>
        </w:rPr>
        <w:t xml:space="preserve">es-Soudan (pays des Noirs) a connu un « Moyen-âge » (Raymond </w:t>
      </w:r>
      <w:proofErr w:type="spellStart"/>
      <w:r w:rsidR="00643F5B" w:rsidRPr="00AC4FCA">
        <w:rPr>
          <w:rFonts w:ascii="Tahoma" w:hAnsi="Tahoma" w:cs="Tahoma"/>
          <w:sz w:val="20"/>
          <w:szCs w:val="20"/>
        </w:rPr>
        <w:t>Mauny</w:t>
      </w:r>
      <w:proofErr w:type="spellEnd"/>
      <w:r w:rsidR="00643F5B" w:rsidRPr="00AC4FCA">
        <w:rPr>
          <w:rFonts w:ascii="Tahoma" w:hAnsi="Tahoma" w:cs="Tahoma"/>
          <w:sz w:val="20"/>
          <w:szCs w:val="20"/>
        </w:rPr>
        <w:t>) resté « glorieux » (…). La succession d’un si grand nombre d’Etats, (…) souligne que le Soudan constituait bien un espace original. Cette originalité tenait à son peuplement, au dynamisme d’une économie largement ouverte aux échanges, à l’émergence précoce d’une vie urbaine (…)</w:t>
      </w:r>
    </w:p>
    <w:p w:rsidR="00643F5B" w:rsidRPr="00AC4FCA" w:rsidRDefault="00643F5B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</w:rPr>
        <w:t xml:space="preserve">La relative bigarrure des populations du Soudan remontait à une époque très ancienne (…). Les peuples les plus proches de la côte sont évidemment les plus fréquemment cités : Sérères, </w:t>
      </w:r>
      <w:proofErr w:type="spellStart"/>
      <w:r w:rsidRPr="00AC4FCA">
        <w:rPr>
          <w:rFonts w:ascii="Tahoma" w:hAnsi="Tahoma" w:cs="Tahoma"/>
          <w:sz w:val="20"/>
          <w:szCs w:val="20"/>
        </w:rPr>
        <w:t>Sereos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ou </w:t>
      </w:r>
      <w:proofErr w:type="spellStart"/>
      <w:r w:rsidRPr="00AC4FCA">
        <w:rPr>
          <w:rFonts w:ascii="Tahoma" w:hAnsi="Tahoma" w:cs="Tahoma"/>
          <w:sz w:val="20"/>
          <w:szCs w:val="20"/>
        </w:rPr>
        <w:t>Sercos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 ; </w:t>
      </w:r>
      <w:proofErr w:type="spellStart"/>
      <w:r w:rsidRPr="00AC4FCA">
        <w:rPr>
          <w:rFonts w:ascii="Tahoma" w:hAnsi="Tahoma" w:cs="Tahoma"/>
          <w:sz w:val="20"/>
          <w:szCs w:val="20"/>
        </w:rPr>
        <w:t>Gilofes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ou </w:t>
      </w:r>
      <w:proofErr w:type="spellStart"/>
      <w:r w:rsidRPr="00AC4FCA">
        <w:rPr>
          <w:rFonts w:ascii="Tahoma" w:hAnsi="Tahoma" w:cs="Tahoma"/>
          <w:sz w:val="20"/>
          <w:szCs w:val="20"/>
        </w:rPr>
        <w:t>Gyloffes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(Wolof) ; </w:t>
      </w:r>
      <w:proofErr w:type="spellStart"/>
      <w:r w:rsidRPr="00AC4FCA">
        <w:rPr>
          <w:rFonts w:ascii="Tahoma" w:hAnsi="Tahoma" w:cs="Tahoma"/>
          <w:sz w:val="20"/>
          <w:szCs w:val="20"/>
        </w:rPr>
        <w:t>Tucurooes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(Toucouleurs) (…). Apparaissent aussi des peuples d’un arrière-pays plus ou moins éloigné : </w:t>
      </w:r>
      <w:proofErr w:type="spellStart"/>
      <w:r w:rsidRPr="00AC4FCA">
        <w:rPr>
          <w:rFonts w:ascii="Tahoma" w:hAnsi="Tahoma" w:cs="Tahoma"/>
          <w:sz w:val="20"/>
          <w:szCs w:val="20"/>
        </w:rPr>
        <w:t>Madingas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 ; </w:t>
      </w:r>
      <w:proofErr w:type="spellStart"/>
      <w:r w:rsidRPr="00AC4FCA">
        <w:rPr>
          <w:rFonts w:ascii="Tahoma" w:hAnsi="Tahoma" w:cs="Tahoma"/>
          <w:sz w:val="20"/>
          <w:szCs w:val="20"/>
        </w:rPr>
        <w:t>Jaalunggas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(</w:t>
      </w:r>
      <w:proofErr w:type="spellStart"/>
      <w:r w:rsidRPr="00AC4FCA">
        <w:rPr>
          <w:rFonts w:ascii="Tahoma" w:hAnsi="Tahoma" w:cs="Tahoma"/>
          <w:sz w:val="20"/>
          <w:szCs w:val="20"/>
        </w:rPr>
        <w:t>Dialonke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) ; </w:t>
      </w:r>
      <w:proofErr w:type="spellStart"/>
      <w:r w:rsidRPr="00AC4FCA">
        <w:rPr>
          <w:rFonts w:ascii="Tahoma" w:hAnsi="Tahoma" w:cs="Tahoma"/>
          <w:sz w:val="20"/>
          <w:szCs w:val="20"/>
        </w:rPr>
        <w:t>Habanbarranaa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(Bambara) (…). Sur ce fond nègre sont venus se greffer des apports multiples (…). Le premier apport fut celui des peuples nomades blancs du désert (…). Ces Berbères se trouvent répartis à l’époque historique entre deux grands ensembles. (…)</w:t>
      </w:r>
    </w:p>
    <w:p w:rsidR="00643F5B" w:rsidRPr="00AC4FCA" w:rsidRDefault="00643F5B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</w:rPr>
        <w:t>Quant aux Arabes, leur contact avec le Sahara remontait au milieu du VIIe siècle et leurs relations avec les pays noirs du Soudan au début du VIIIe siècle. (…)</w:t>
      </w:r>
    </w:p>
    <w:p w:rsidR="00643F5B" w:rsidRPr="00AC4FCA" w:rsidRDefault="00643F5B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</w:rPr>
        <w:t xml:space="preserve">L’impression que l’on tire de la lecture d’Ibn Batouta qui voyagea au </w:t>
      </w:r>
      <w:proofErr w:type="spellStart"/>
      <w:r w:rsidRPr="00AC4FCA">
        <w:rPr>
          <w:rFonts w:ascii="Tahoma" w:hAnsi="Tahoma" w:cs="Tahoma"/>
          <w:sz w:val="20"/>
          <w:szCs w:val="20"/>
        </w:rPr>
        <w:t>Bilad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es-Soudan en 1352-1353, est celle d’une économie essentiellement agricole, capable de dégager assez de surplus pour les échanges locaux et jouissant d’une assez grande prospérité (…)</w:t>
      </w:r>
    </w:p>
    <w:p w:rsidR="00643F5B" w:rsidRPr="00AC4FCA" w:rsidRDefault="00643F5B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</w:rPr>
        <w:t>Dans les sens sud-nord, les deux produits de base étaient l’or et les esclaves. Tiré de trois sources principales (</w:t>
      </w:r>
      <w:proofErr w:type="spellStart"/>
      <w:r w:rsidRPr="00AC4FCA">
        <w:rPr>
          <w:rFonts w:ascii="Tahoma" w:hAnsi="Tahoma" w:cs="Tahoma"/>
          <w:sz w:val="20"/>
          <w:szCs w:val="20"/>
        </w:rPr>
        <w:t>Bambuk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AC4FCA">
        <w:rPr>
          <w:rFonts w:ascii="Tahoma" w:hAnsi="Tahoma" w:cs="Tahoma"/>
          <w:sz w:val="20"/>
          <w:szCs w:val="20"/>
        </w:rPr>
        <w:t>Bouré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et pays </w:t>
      </w:r>
      <w:proofErr w:type="spellStart"/>
      <w:r w:rsidRPr="00AC4FCA">
        <w:rPr>
          <w:rFonts w:ascii="Tahoma" w:hAnsi="Tahoma" w:cs="Tahoma"/>
          <w:sz w:val="20"/>
          <w:szCs w:val="20"/>
        </w:rPr>
        <w:t>asante</w:t>
      </w:r>
      <w:proofErr w:type="spellEnd"/>
      <w:r w:rsidRPr="00AC4FCA">
        <w:rPr>
          <w:rFonts w:ascii="Tahoma" w:hAnsi="Tahoma" w:cs="Tahoma"/>
          <w:sz w:val="20"/>
          <w:szCs w:val="20"/>
        </w:rPr>
        <w:t>), l’or remontait vers les villes soudanaises avant d’être réexpédié plus au nord.</w:t>
      </w:r>
    </w:p>
    <w:p w:rsidR="008D0AA1" w:rsidRDefault="00643F5B" w:rsidP="00CC59E6">
      <w:pPr>
        <w:spacing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7C6722">
        <w:rPr>
          <w:rFonts w:ascii="Tahoma" w:hAnsi="Tahoma" w:cs="Tahoma"/>
          <w:i/>
          <w:sz w:val="20"/>
          <w:szCs w:val="20"/>
        </w:rPr>
        <w:t xml:space="preserve">Source : </w:t>
      </w:r>
      <w:proofErr w:type="spellStart"/>
      <w:r w:rsidRPr="007C6722">
        <w:rPr>
          <w:rFonts w:ascii="Tahoma" w:hAnsi="Tahoma" w:cs="Tahoma"/>
          <w:i/>
          <w:sz w:val="20"/>
          <w:szCs w:val="20"/>
        </w:rPr>
        <w:t>Elikia</w:t>
      </w:r>
      <w:proofErr w:type="spellEnd"/>
      <w:r w:rsidRPr="007C6722">
        <w:rPr>
          <w:rFonts w:ascii="Tahoma" w:hAnsi="Tahoma" w:cs="Tahoma"/>
          <w:i/>
          <w:sz w:val="20"/>
          <w:szCs w:val="20"/>
        </w:rPr>
        <w:t xml:space="preserve"> M’</w:t>
      </w:r>
      <w:proofErr w:type="spellStart"/>
      <w:r w:rsidRPr="007C6722">
        <w:rPr>
          <w:rFonts w:ascii="Tahoma" w:hAnsi="Tahoma" w:cs="Tahoma"/>
          <w:i/>
          <w:sz w:val="20"/>
          <w:szCs w:val="20"/>
        </w:rPr>
        <w:t>BOKOLO</w:t>
      </w:r>
      <w:proofErr w:type="spellEnd"/>
      <w:r w:rsidRPr="007C6722">
        <w:rPr>
          <w:rFonts w:ascii="Tahoma" w:hAnsi="Tahoma" w:cs="Tahoma"/>
          <w:i/>
          <w:sz w:val="20"/>
          <w:szCs w:val="20"/>
        </w:rPr>
        <w:t xml:space="preserve">, </w:t>
      </w:r>
      <w:r w:rsidRPr="007C6722">
        <w:rPr>
          <w:rFonts w:ascii="Tahoma" w:hAnsi="Tahoma" w:cs="Tahoma"/>
          <w:i/>
          <w:sz w:val="20"/>
          <w:szCs w:val="20"/>
          <w:u w:val="single"/>
        </w:rPr>
        <w:t>Afrique Noire Histoire et Civilisations</w:t>
      </w:r>
      <w:r w:rsidRPr="007C6722">
        <w:rPr>
          <w:rFonts w:ascii="Tahoma" w:hAnsi="Tahoma" w:cs="Tahoma"/>
          <w:i/>
          <w:sz w:val="20"/>
          <w:szCs w:val="20"/>
        </w:rPr>
        <w:t>, Tome 1 : Jusqu’au XVIIIe siècle, Paris, Hatier, 1995, pp. 96-102.</w:t>
      </w:r>
    </w:p>
    <w:p w:rsidR="0085757D" w:rsidRDefault="0085757D" w:rsidP="00CC59E6">
      <w:pPr>
        <w:spacing w:line="240" w:lineRule="auto"/>
        <w:jc w:val="both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</w:t>
      </w:r>
    </w:p>
    <w:p w:rsidR="00CC59E6" w:rsidRPr="00AC4FCA" w:rsidRDefault="00CC59E6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  <w:u w:val="single"/>
        </w:rPr>
        <w:t>DOCUMENT 1</w:t>
      </w:r>
      <w:r>
        <w:rPr>
          <w:rFonts w:ascii="Tahoma" w:hAnsi="Tahoma" w:cs="Tahoma"/>
          <w:sz w:val="20"/>
          <w:szCs w:val="20"/>
        </w:rPr>
        <w:t> </w:t>
      </w:r>
    </w:p>
    <w:p w:rsidR="00CC59E6" w:rsidRPr="00AC4FCA" w:rsidRDefault="00CC59E6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Le </w:t>
      </w:r>
      <w:proofErr w:type="spellStart"/>
      <w:r>
        <w:rPr>
          <w:rFonts w:ascii="Tahoma" w:hAnsi="Tahoma" w:cs="Tahoma"/>
          <w:sz w:val="20"/>
          <w:szCs w:val="20"/>
        </w:rPr>
        <w:t>Bilad</w:t>
      </w:r>
      <w:proofErr w:type="spellEnd"/>
      <w:r>
        <w:rPr>
          <w:rFonts w:ascii="Tahoma" w:hAnsi="Tahoma" w:cs="Tahoma"/>
          <w:sz w:val="20"/>
          <w:szCs w:val="20"/>
        </w:rPr>
        <w:t>-</w:t>
      </w:r>
      <w:r w:rsidRPr="00AC4FCA">
        <w:rPr>
          <w:rFonts w:ascii="Tahoma" w:hAnsi="Tahoma" w:cs="Tahoma"/>
          <w:sz w:val="20"/>
          <w:szCs w:val="20"/>
        </w:rPr>
        <w:t xml:space="preserve">es-Soudan (pays des Noirs) a connu un « Moyen-âge » (Raymond </w:t>
      </w:r>
      <w:proofErr w:type="spellStart"/>
      <w:r w:rsidRPr="00AC4FCA">
        <w:rPr>
          <w:rFonts w:ascii="Tahoma" w:hAnsi="Tahoma" w:cs="Tahoma"/>
          <w:sz w:val="20"/>
          <w:szCs w:val="20"/>
        </w:rPr>
        <w:t>Mauny</w:t>
      </w:r>
      <w:proofErr w:type="spellEnd"/>
      <w:r w:rsidRPr="00AC4FCA">
        <w:rPr>
          <w:rFonts w:ascii="Tahoma" w:hAnsi="Tahoma" w:cs="Tahoma"/>
          <w:sz w:val="20"/>
          <w:szCs w:val="20"/>
        </w:rPr>
        <w:t>) resté « glorieux » (…). La succession d’un si grand nombre d’Etats, (…) souligne que le Soudan constituait bien un espace original. Cette originalité tenait à son peuplement, au dynamisme d’une économie largement ouverte aux échanges, à l’émergence précoce d’une vie urbaine (…)</w:t>
      </w:r>
    </w:p>
    <w:p w:rsidR="00CC59E6" w:rsidRPr="00AC4FCA" w:rsidRDefault="00CC59E6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</w:rPr>
        <w:t xml:space="preserve">La relative bigarrure des populations du Soudan remontait à une époque très ancienne (…). Les peuples les plus proches de la côte sont évidemment les plus fréquemment cités : Sérères, </w:t>
      </w:r>
      <w:proofErr w:type="spellStart"/>
      <w:r w:rsidRPr="00AC4FCA">
        <w:rPr>
          <w:rFonts w:ascii="Tahoma" w:hAnsi="Tahoma" w:cs="Tahoma"/>
          <w:sz w:val="20"/>
          <w:szCs w:val="20"/>
        </w:rPr>
        <w:t>Sereos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ou </w:t>
      </w:r>
      <w:proofErr w:type="spellStart"/>
      <w:r w:rsidRPr="00AC4FCA">
        <w:rPr>
          <w:rFonts w:ascii="Tahoma" w:hAnsi="Tahoma" w:cs="Tahoma"/>
          <w:sz w:val="20"/>
          <w:szCs w:val="20"/>
        </w:rPr>
        <w:t>Sercos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 ; </w:t>
      </w:r>
      <w:proofErr w:type="spellStart"/>
      <w:r w:rsidRPr="00AC4FCA">
        <w:rPr>
          <w:rFonts w:ascii="Tahoma" w:hAnsi="Tahoma" w:cs="Tahoma"/>
          <w:sz w:val="20"/>
          <w:szCs w:val="20"/>
        </w:rPr>
        <w:t>Gilofes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ou </w:t>
      </w:r>
      <w:proofErr w:type="spellStart"/>
      <w:r w:rsidRPr="00AC4FCA">
        <w:rPr>
          <w:rFonts w:ascii="Tahoma" w:hAnsi="Tahoma" w:cs="Tahoma"/>
          <w:sz w:val="20"/>
          <w:szCs w:val="20"/>
        </w:rPr>
        <w:t>Gyloffes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(Wolof) ; </w:t>
      </w:r>
      <w:proofErr w:type="spellStart"/>
      <w:r w:rsidRPr="00AC4FCA">
        <w:rPr>
          <w:rFonts w:ascii="Tahoma" w:hAnsi="Tahoma" w:cs="Tahoma"/>
          <w:sz w:val="20"/>
          <w:szCs w:val="20"/>
        </w:rPr>
        <w:t>Tucurooes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(Toucouleurs) (…). Apparaissent aussi des peuples d’un arrière-pays plus ou moins éloigné : </w:t>
      </w:r>
      <w:proofErr w:type="spellStart"/>
      <w:r w:rsidRPr="00AC4FCA">
        <w:rPr>
          <w:rFonts w:ascii="Tahoma" w:hAnsi="Tahoma" w:cs="Tahoma"/>
          <w:sz w:val="20"/>
          <w:szCs w:val="20"/>
        </w:rPr>
        <w:t>Madingas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 ; </w:t>
      </w:r>
      <w:proofErr w:type="spellStart"/>
      <w:r w:rsidRPr="00AC4FCA">
        <w:rPr>
          <w:rFonts w:ascii="Tahoma" w:hAnsi="Tahoma" w:cs="Tahoma"/>
          <w:sz w:val="20"/>
          <w:szCs w:val="20"/>
        </w:rPr>
        <w:t>Jaalunggas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(</w:t>
      </w:r>
      <w:proofErr w:type="spellStart"/>
      <w:r w:rsidRPr="00AC4FCA">
        <w:rPr>
          <w:rFonts w:ascii="Tahoma" w:hAnsi="Tahoma" w:cs="Tahoma"/>
          <w:sz w:val="20"/>
          <w:szCs w:val="20"/>
        </w:rPr>
        <w:t>Dialonke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) ; </w:t>
      </w:r>
      <w:proofErr w:type="spellStart"/>
      <w:r w:rsidRPr="00AC4FCA">
        <w:rPr>
          <w:rFonts w:ascii="Tahoma" w:hAnsi="Tahoma" w:cs="Tahoma"/>
          <w:sz w:val="20"/>
          <w:szCs w:val="20"/>
        </w:rPr>
        <w:t>Habanbarranaa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(Bambara) (…). Sur ce fond nègre sont venus se greffer des apports multiples (…). Le premier apport fut celui des peuples nomades blancs du désert (…). Ces Berbères se trouvent répartis à l’époque historique entre deux grands ensembles. (…)</w:t>
      </w:r>
    </w:p>
    <w:p w:rsidR="00CC59E6" w:rsidRPr="00AC4FCA" w:rsidRDefault="00CC59E6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</w:rPr>
        <w:t>Quant aux Arabes, leur contact avec le Sahara remontait au milieu du VIIe siècle et leurs relations avec les pays noirs du Soudan au début du VIIIe siècle. (…)</w:t>
      </w:r>
    </w:p>
    <w:p w:rsidR="00CC59E6" w:rsidRPr="00AC4FCA" w:rsidRDefault="00CC59E6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</w:rPr>
        <w:t xml:space="preserve">L’impression que l’on tire de la lecture d’Ibn Batouta qui voyagea au </w:t>
      </w:r>
      <w:proofErr w:type="spellStart"/>
      <w:r w:rsidRPr="00AC4FCA">
        <w:rPr>
          <w:rFonts w:ascii="Tahoma" w:hAnsi="Tahoma" w:cs="Tahoma"/>
          <w:sz w:val="20"/>
          <w:szCs w:val="20"/>
        </w:rPr>
        <w:t>Bilad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es-Soudan en 1352-1353, est celle d’une économie essentiellement agricole, capable de dégager assez de surplus pour les échanges locaux et jouissant d’une assez grande prospérité (…)</w:t>
      </w:r>
    </w:p>
    <w:p w:rsidR="00CC59E6" w:rsidRPr="00AC4FCA" w:rsidRDefault="00CC59E6" w:rsidP="00CC59E6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AC4FCA">
        <w:rPr>
          <w:rFonts w:ascii="Tahoma" w:hAnsi="Tahoma" w:cs="Tahoma"/>
          <w:sz w:val="20"/>
          <w:szCs w:val="20"/>
        </w:rPr>
        <w:t>Dans les sens sud-nord, les deux produits de base étaient l’or et les esclaves. Tiré de trois sources principales (</w:t>
      </w:r>
      <w:proofErr w:type="spellStart"/>
      <w:r w:rsidRPr="00AC4FCA">
        <w:rPr>
          <w:rFonts w:ascii="Tahoma" w:hAnsi="Tahoma" w:cs="Tahoma"/>
          <w:sz w:val="20"/>
          <w:szCs w:val="20"/>
        </w:rPr>
        <w:t>Bambuk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AC4FCA">
        <w:rPr>
          <w:rFonts w:ascii="Tahoma" w:hAnsi="Tahoma" w:cs="Tahoma"/>
          <w:sz w:val="20"/>
          <w:szCs w:val="20"/>
        </w:rPr>
        <w:t>Bouré</w:t>
      </w:r>
      <w:proofErr w:type="spellEnd"/>
      <w:r w:rsidRPr="00AC4FCA">
        <w:rPr>
          <w:rFonts w:ascii="Tahoma" w:hAnsi="Tahoma" w:cs="Tahoma"/>
          <w:sz w:val="20"/>
          <w:szCs w:val="20"/>
        </w:rPr>
        <w:t xml:space="preserve"> et pays </w:t>
      </w:r>
      <w:proofErr w:type="spellStart"/>
      <w:r w:rsidRPr="00AC4FCA">
        <w:rPr>
          <w:rFonts w:ascii="Tahoma" w:hAnsi="Tahoma" w:cs="Tahoma"/>
          <w:sz w:val="20"/>
          <w:szCs w:val="20"/>
        </w:rPr>
        <w:t>asante</w:t>
      </w:r>
      <w:proofErr w:type="spellEnd"/>
      <w:r w:rsidRPr="00AC4FCA">
        <w:rPr>
          <w:rFonts w:ascii="Tahoma" w:hAnsi="Tahoma" w:cs="Tahoma"/>
          <w:sz w:val="20"/>
          <w:szCs w:val="20"/>
        </w:rPr>
        <w:t>), l’or remontait vers les villes soudanaises avant d’être réexpédié plus au nord.</w:t>
      </w:r>
    </w:p>
    <w:p w:rsidR="00CC59E6" w:rsidRDefault="00CC59E6" w:rsidP="00CC59E6">
      <w:pPr>
        <w:spacing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7C6722">
        <w:rPr>
          <w:rFonts w:ascii="Tahoma" w:hAnsi="Tahoma" w:cs="Tahoma"/>
          <w:i/>
          <w:sz w:val="20"/>
          <w:szCs w:val="20"/>
        </w:rPr>
        <w:t xml:space="preserve">Source : </w:t>
      </w:r>
      <w:proofErr w:type="spellStart"/>
      <w:r w:rsidRPr="007C6722">
        <w:rPr>
          <w:rFonts w:ascii="Tahoma" w:hAnsi="Tahoma" w:cs="Tahoma"/>
          <w:i/>
          <w:sz w:val="20"/>
          <w:szCs w:val="20"/>
        </w:rPr>
        <w:t>Elikia</w:t>
      </w:r>
      <w:proofErr w:type="spellEnd"/>
      <w:r w:rsidRPr="007C6722">
        <w:rPr>
          <w:rFonts w:ascii="Tahoma" w:hAnsi="Tahoma" w:cs="Tahoma"/>
          <w:i/>
          <w:sz w:val="20"/>
          <w:szCs w:val="20"/>
        </w:rPr>
        <w:t xml:space="preserve"> M’</w:t>
      </w:r>
      <w:proofErr w:type="spellStart"/>
      <w:r w:rsidRPr="007C6722">
        <w:rPr>
          <w:rFonts w:ascii="Tahoma" w:hAnsi="Tahoma" w:cs="Tahoma"/>
          <w:i/>
          <w:sz w:val="20"/>
          <w:szCs w:val="20"/>
        </w:rPr>
        <w:t>BOKOLO</w:t>
      </w:r>
      <w:proofErr w:type="spellEnd"/>
      <w:r w:rsidRPr="007C6722">
        <w:rPr>
          <w:rFonts w:ascii="Tahoma" w:hAnsi="Tahoma" w:cs="Tahoma"/>
          <w:i/>
          <w:sz w:val="20"/>
          <w:szCs w:val="20"/>
        </w:rPr>
        <w:t xml:space="preserve">, </w:t>
      </w:r>
      <w:r w:rsidRPr="007C6722">
        <w:rPr>
          <w:rFonts w:ascii="Tahoma" w:hAnsi="Tahoma" w:cs="Tahoma"/>
          <w:i/>
          <w:sz w:val="20"/>
          <w:szCs w:val="20"/>
          <w:u w:val="single"/>
        </w:rPr>
        <w:t>Afrique Noire Histoire et Civilisations</w:t>
      </w:r>
      <w:r w:rsidRPr="007C6722">
        <w:rPr>
          <w:rFonts w:ascii="Tahoma" w:hAnsi="Tahoma" w:cs="Tahoma"/>
          <w:i/>
          <w:sz w:val="20"/>
          <w:szCs w:val="20"/>
        </w:rPr>
        <w:t>, Tome 1 : Jusqu’au XVIIIe siècle, Paris, Hatier, 1995, pp. 96-102.</w:t>
      </w:r>
    </w:p>
    <w:p w:rsidR="00CC59E6" w:rsidRPr="007C6722" w:rsidRDefault="00CC59E6" w:rsidP="00CC59E6">
      <w:pPr>
        <w:spacing w:line="240" w:lineRule="auto"/>
        <w:jc w:val="both"/>
        <w:rPr>
          <w:i/>
        </w:rPr>
      </w:pPr>
      <w:r>
        <w:rPr>
          <w:rFonts w:ascii="Tahoma" w:hAnsi="Tahoma" w:cs="Tahoma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</w:t>
      </w:r>
    </w:p>
    <w:p w:rsidR="00CC59E6" w:rsidRPr="007C6722" w:rsidRDefault="00CC59E6" w:rsidP="00CC59E6">
      <w:pPr>
        <w:spacing w:line="240" w:lineRule="auto"/>
        <w:jc w:val="both"/>
        <w:rPr>
          <w:i/>
        </w:rPr>
      </w:pPr>
      <w:bookmarkStart w:id="0" w:name="_GoBack"/>
      <w:bookmarkEnd w:id="0"/>
    </w:p>
    <w:sectPr w:rsidR="00CC59E6" w:rsidRPr="007C6722" w:rsidSect="00643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5B"/>
    <w:rsid w:val="00643F5B"/>
    <w:rsid w:val="007C6722"/>
    <w:rsid w:val="0085757D"/>
    <w:rsid w:val="008D0AA1"/>
    <w:rsid w:val="00CC59E6"/>
    <w:rsid w:val="00F8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1885076-614E-4AC7-ABAF-461C86B6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="Tahoma"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F5B"/>
    <w:rPr>
      <w:rFonts w:asciiTheme="minorHAnsi" w:hAnsiTheme="minorHAnsi" w:cstheme="minorBid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Xmo</dc:creator>
  <cp:keywords/>
  <dc:description/>
  <cp:lastModifiedBy>Xmo</cp:lastModifiedBy>
  <cp:revision>2</cp:revision>
  <dcterms:created xsi:type="dcterms:W3CDTF">2020-03-14T20:58:00Z</dcterms:created>
  <dcterms:modified xsi:type="dcterms:W3CDTF">2020-03-14T21:25:00Z</dcterms:modified>
</cp:coreProperties>
</file>